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技术要求：</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1、外形尺寸(L*W*H)：1900*680*500mm（±5%）；</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3、换气量：不小于50L/min；</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4、负压值：不小于15Pa(2min内)；</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5、洁净度：对0.3μm气溶粒过滤效率不低于99.9%；</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6、噪音：不大于65dB=(A)；</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7、放电时间：采用电池供电在正常情况下可连续抽吸(负压)约4个小时；</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8、报警：低压力和低电量；</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9、设备重量：≤20kg；</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单台配置清单：</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1、密封隔离舱透明舱体1件</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2、高效过滤器不小于6件</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3、负压生成系统不小于1个</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4、一次性PE手套不小于5双</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5、锂电池1个</w:t>
      </w:r>
      <w:bookmarkStart w:id="0" w:name="_GoBack"/>
      <w:bookmarkEnd w:id="0"/>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6、充电器1个</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7、担架1个</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8、担车推车1个</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商务要求：</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1、自设备验收合格之日起，设备整机质保期为2年，质保期后终身免费维护，只收取维修成本费，质保期内设备维护保养次数不低于1次/年，质保期内保养所需耗品免费。</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2、有专业维修工程师及技术人员，能提供及时的技术支持及售后服务。仪器发生故障电话报修时，在 2小时内作出响应；不能解决问题时，专业维修工程师及技术人员须在 24小时内到达现场对仪器进行维修，维修期间超过2天需免费提供同型号备用机。</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3、提供免费安装、调试、技术培训等服务。</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培训方式：现场培训，在签订合同后在规定时间内按招标人要求将设备送达指定地点，并安装调试合格后，由相关工程技术人员在现场对操作人员进行使用培训和日常维护保养的培训，直到操作人员会使用为止。</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5、每年提供至少1次用户巡回服务，并且每次都有详细的维护保养记录。</w:t>
      </w: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6、供应商如果是代理商或经销商，所投产品须具有制造商的授权书（加盖公章的扫描件），（如果授权是二级或二级以下的，必须提供上每一级别的授权）。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04BE2"/>
    <w:rsid w:val="045A39F5"/>
    <w:rsid w:val="144F2FB5"/>
    <w:rsid w:val="22A54710"/>
    <w:rsid w:val="2F404BE2"/>
    <w:rsid w:val="393F6A1C"/>
    <w:rsid w:val="466516FD"/>
    <w:rsid w:val="48CD7517"/>
    <w:rsid w:val="493D5A8C"/>
    <w:rsid w:val="68145509"/>
    <w:rsid w:val="727C75C5"/>
    <w:rsid w:val="761A0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2022-05-19T00:53:00Z</dcterms:created>
  <dc:creator>c</dc:creator>
  <cp:lastModifiedBy>c</cp:lastModifiedBy>
  <dcterms:modified xsi:type="dcterms:W3CDTF">2022-05-19T03:37:51Z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416C01A415AC43B8A51530DD8835244F</vt:lpwstr>
  </property>
</Properties>
</file>