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260"/>
        </w:tabs>
        <w:spacing w:line="360" w:lineRule="auto"/>
        <w:ind w:firstLine="562" w:firstLineChars="200"/>
        <w:rPr>
          <w:rFonts w:hint="eastAsia" w:ascii="宋体" w:hAnsi="宋体" w:cs="黑体"/>
          <w:b/>
          <w:bCs/>
          <w:color w:val="auto"/>
          <w:sz w:val="28"/>
          <w:szCs w:val="28"/>
          <w:lang w:val="en-US" w:eastAsia="zh-CN"/>
        </w:rPr>
      </w:pPr>
      <w:r>
        <w:rPr>
          <w:rFonts w:hint="eastAsia" w:ascii="宋体" w:hAnsi="宋体" w:cs="黑体"/>
          <w:b/>
          <w:bCs/>
          <w:color w:val="auto"/>
          <w:sz w:val="28"/>
          <w:szCs w:val="28"/>
          <w:lang w:val="en-US" w:eastAsia="zh-CN"/>
        </w:rPr>
        <w:t>海口分院专线(B线)技术指标</w:t>
      </w:r>
      <w:bookmarkStart w:id="1" w:name="_GoBack"/>
      <w:bookmarkEnd w:id="1"/>
    </w:p>
    <w:p>
      <w:pPr>
        <w:tabs>
          <w:tab w:val="left" w:pos="1260"/>
        </w:tabs>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一、根据</w:t>
      </w:r>
      <w:r>
        <w:rPr>
          <w:rFonts w:hint="eastAsia" w:ascii="宋体" w:hAnsi="宋体" w:cs="宋体"/>
          <w:color w:val="auto"/>
          <w:sz w:val="24"/>
          <w:szCs w:val="24"/>
          <w:lang w:eastAsia="zh-CN"/>
        </w:rPr>
        <w:t>昆明医科大学第二附属医院</w:t>
      </w:r>
      <w:r>
        <w:rPr>
          <w:rFonts w:hint="eastAsia" w:ascii="宋体" w:hAnsi="宋体" w:cs="宋体"/>
          <w:color w:val="auto"/>
          <w:sz w:val="24"/>
          <w:szCs w:val="24"/>
        </w:rPr>
        <w:t>业务需求，现需采购一条1</w:t>
      </w:r>
      <w:r>
        <w:rPr>
          <w:rFonts w:ascii="宋体" w:hAnsi="宋体" w:cs="宋体"/>
          <w:color w:val="auto"/>
          <w:sz w:val="24"/>
          <w:szCs w:val="24"/>
        </w:rPr>
        <w:t>00</w:t>
      </w:r>
      <w:r>
        <w:rPr>
          <w:rFonts w:hint="eastAsia" w:ascii="宋体" w:hAnsi="宋体" w:cs="宋体"/>
          <w:color w:val="auto"/>
          <w:sz w:val="24"/>
          <w:szCs w:val="24"/>
        </w:rPr>
        <w:t>M数据专线对两个院区之间互联。</w:t>
      </w:r>
    </w:p>
    <w:p>
      <w:pPr>
        <w:snapToGrid w:val="0"/>
        <w:spacing w:line="360" w:lineRule="auto"/>
        <w:ind w:firstLine="480" w:firstLineChars="200"/>
        <w:rPr>
          <w:rFonts w:ascii="宋体" w:hAnsi="宋体" w:cs="黑体"/>
          <w:color w:val="auto"/>
          <w:sz w:val="24"/>
          <w:szCs w:val="24"/>
        </w:rPr>
      </w:pPr>
      <w:r>
        <w:rPr>
          <w:rFonts w:hint="eastAsia" w:ascii="宋体" w:hAnsi="宋体" w:cs="黑体"/>
          <w:color w:val="auto"/>
          <w:sz w:val="24"/>
          <w:szCs w:val="24"/>
        </w:rPr>
        <w:t>1、供应商必须保证出租的专线及电路质量符合国家相关标准和规定；采购人租用的专线电路的质量如不符合上述标准的，供应商应负责对该专线及电路予以及时修复、调换。</w:t>
      </w:r>
    </w:p>
    <w:p>
      <w:pPr>
        <w:snapToGrid w:val="0"/>
        <w:spacing w:line="360" w:lineRule="auto"/>
        <w:ind w:firstLine="480" w:firstLineChars="200"/>
        <w:rPr>
          <w:rFonts w:ascii="宋体" w:hAnsi="宋体" w:cs="黑体"/>
          <w:color w:val="auto"/>
          <w:sz w:val="24"/>
          <w:szCs w:val="24"/>
        </w:rPr>
      </w:pPr>
      <w:r>
        <w:rPr>
          <w:rFonts w:hint="eastAsia" w:ascii="宋体" w:hAnsi="宋体" w:cs="黑体"/>
          <w:color w:val="auto"/>
          <w:sz w:val="24"/>
          <w:szCs w:val="24"/>
        </w:rPr>
        <w:t>2、供应商必须保证与采购人互联的网关路由器至供应商骨干层与其他运营商互联出口路由器的时延和丢包率符合正常的标准。</w:t>
      </w:r>
    </w:p>
    <w:p>
      <w:pPr>
        <w:snapToGrid w:val="0"/>
        <w:spacing w:line="360" w:lineRule="auto"/>
        <w:ind w:firstLine="480" w:firstLineChars="200"/>
        <w:rPr>
          <w:rFonts w:ascii="宋体" w:hAnsi="宋体" w:cs="黑体"/>
          <w:color w:val="auto"/>
          <w:sz w:val="24"/>
          <w:szCs w:val="24"/>
        </w:rPr>
      </w:pPr>
      <w:r>
        <w:rPr>
          <w:rFonts w:hint="eastAsia" w:ascii="宋体" w:hAnsi="宋体" w:cs="黑体"/>
          <w:color w:val="auto"/>
          <w:sz w:val="24"/>
          <w:szCs w:val="24"/>
        </w:rPr>
        <w:t>3、专线要接入中国Internet骨干网络，实现快速访问Internet线路要稳定，必须保证100M独享带宽。</w:t>
      </w:r>
    </w:p>
    <w:p>
      <w:pPr>
        <w:snapToGrid w:val="0"/>
        <w:spacing w:line="360" w:lineRule="auto"/>
        <w:ind w:firstLine="480" w:firstLineChars="200"/>
        <w:rPr>
          <w:rFonts w:ascii="宋体" w:hAnsi="宋体" w:cs="黑体"/>
          <w:color w:val="auto"/>
          <w:sz w:val="24"/>
          <w:szCs w:val="24"/>
        </w:rPr>
      </w:pPr>
      <w:r>
        <w:rPr>
          <w:rFonts w:hint="eastAsia" w:ascii="宋体" w:hAnsi="宋体" w:cs="黑体"/>
          <w:color w:val="auto"/>
          <w:sz w:val="24"/>
          <w:szCs w:val="24"/>
        </w:rPr>
        <w:t>4、供应商必须提供及时的技术支持，每天24小时、每周7天、全年无休的系统监控及全面性技术支持，100%故障响应率，100%故障恢复率，不低于99%限时故障恢复率（限时时间为4小时）。</w:t>
      </w:r>
    </w:p>
    <w:p>
      <w:pPr>
        <w:snapToGrid w:val="0"/>
        <w:spacing w:line="360" w:lineRule="auto"/>
        <w:ind w:firstLine="480" w:firstLineChars="200"/>
        <w:rPr>
          <w:rFonts w:ascii="宋体" w:hAnsi="宋体" w:cs="黑体"/>
          <w:color w:val="auto"/>
          <w:sz w:val="24"/>
          <w:szCs w:val="24"/>
        </w:rPr>
      </w:pPr>
      <w:r>
        <w:rPr>
          <w:rFonts w:hint="eastAsia" w:ascii="宋体" w:hAnsi="宋体" w:cs="黑体"/>
          <w:color w:val="auto"/>
          <w:sz w:val="24"/>
          <w:szCs w:val="24"/>
        </w:rPr>
        <w:t>5、网络可用性为99.99%。网络可用性是指供应商网内端到端全网能提供无故障时间占运行时间的百分比。</w:t>
      </w:r>
    </w:p>
    <w:p>
      <w:pPr>
        <w:snapToGrid w:val="0"/>
        <w:spacing w:line="360" w:lineRule="auto"/>
        <w:ind w:firstLine="480" w:firstLineChars="200"/>
        <w:rPr>
          <w:rFonts w:ascii="宋体" w:hAnsi="宋体" w:cs="黑体"/>
          <w:color w:val="auto"/>
          <w:sz w:val="24"/>
          <w:szCs w:val="24"/>
        </w:rPr>
      </w:pPr>
      <w:r>
        <w:rPr>
          <w:rFonts w:hint="eastAsia" w:ascii="宋体" w:hAnsi="宋体" w:cs="黑体"/>
          <w:color w:val="auto"/>
          <w:sz w:val="24"/>
          <w:szCs w:val="24"/>
        </w:rPr>
        <w:t>6、供应商网内性能</w:t>
      </w:r>
    </w:p>
    <w:p>
      <w:pPr>
        <w:snapToGrid w:val="0"/>
        <w:spacing w:line="360" w:lineRule="auto"/>
        <w:ind w:firstLine="480" w:firstLineChars="200"/>
        <w:rPr>
          <w:rFonts w:ascii="宋体" w:hAnsi="宋体" w:cs="黑体"/>
          <w:color w:val="auto"/>
          <w:sz w:val="24"/>
          <w:szCs w:val="24"/>
        </w:rPr>
      </w:pPr>
      <w:r>
        <w:rPr>
          <w:rFonts w:hint="eastAsia" w:ascii="宋体" w:hAnsi="宋体" w:cs="黑体"/>
          <w:color w:val="auto"/>
          <w:sz w:val="24"/>
          <w:szCs w:val="24"/>
        </w:rPr>
        <w:t>（1）从采购人出口网关处至供应商任一设备之间忙时：平均丢包率≤1%，平均延时≤80ms。</w:t>
      </w:r>
    </w:p>
    <w:p>
      <w:pPr>
        <w:snapToGrid w:val="0"/>
        <w:spacing w:line="360" w:lineRule="auto"/>
        <w:ind w:firstLine="480" w:firstLineChars="200"/>
        <w:rPr>
          <w:rFonts w:ascii="宋体" w:hAnsi="宋体" w:cs="黑体"/>
          <w:color w:val="auto"/>
          <w:sz w:val="24"/>
          <w:szCs w:val="24"/>
        </w:rPr>
      </w:pPr>
      <w:r>
        <w:rPr>
          <w:rFonts w:hint="eastAsia" w:ascii="宋体" w:hAnsi="宋体" w:cs="黑体"/>
          <w:color w:val="auto"/>
          <w:sz w:val="24"/>
          <w:szCs w:val="24"/>
        </w:rPr>
        <w:t>（2）供应商网络与供应商任一设备之间忙时：平均丢包率≤1%，平均延时≤150ms。</w:t>
      </w:r>
    </w:p>
    <w:p>
      <w:pPr>
        <w:snapToGrid w:val="0"/>
        <w:spacing w:line="360" w:lineRule="auto"/>
        <w:ind w:firstLine="480" w:firstLineChars="200"/>
        <w:rPr>
          <w:rFonts w:hint="eastAsia" w:ascii="宋体" w:hAnsi="宋体" w:cs="黑体"/>
          <w:color w:val="auto"/>
          <w:sz w:val="24"/>
          <w:szCs w:val="24"/>
        </w:rPr>
      </w:pPr>
      <w:r>
        <w:rPr>
          <w:rFonts w:hint="eastAsia" w:ascii="宋体" w:hAnsi="宋体" w:cs="黑体"/>
          <w:color w:val="auto"/>
          <w:sz w:val="24"/>
          <w:szCs w:val="24"/>
        </w:rPr>
        <w:t>（</w:t>
      </w:r>
      <w:r>
        <w:rPr>
          <w:rFonts w:ascii="宋体" w:hAnsi="宋体" w:cs="黑体"/>
          <w:color w:val="auto"/>
          <w:sz w:val="24"/>
          <w:szCs w:val="24"/>
        </w:rPr>
        <w:t>3</w:t>
      </w:r>
      <w:r>
        <w:rPr>
          <w:rFonts w:hint="eastAsia" w:ascii="宋体" w:hAnsi="宋体" w:cs="黑体"/>
          <w:color w:val="auto"/>
          <w:sz w:val="24"/>
          <w:szCs w:val="24"/>
        </w:rPr>
        <w:t>）供应商网络与其它运营商互联性能。</w:t>
      </w:r>
    </w:p>
    <w:p>
      <w:pPr>
        <w:snapToGrid w:val="0"/>
        <w:spacing w:line="360" w:lineRule="auto"/>
        <w:ind w:firstLine="480" w:firstLineChars="200"/>
        <w:rPr>
          <w:rFonts w:ascii="宋体" w:hAnsi="宋体" w:cs="黑体"/>
          <w:color w:val="auto"/>
          <w:sz w:val="24"/>
          <w:szCs w:val="24"/>
        </w:rPr>
      </w:pPr>
      <w:r>
        <w:rPr>
          <w:rFonts w:hint="eastAsia" w:ascii="宋体" w:hAnsi="宋体" w:cs="黑体"/>
          <w:color w:val="auto"/>
          <w:sz w:val="24"/>
          <w:szCs w:val="24"/>
        </w:rPr>
        <w:t>从采购人出口网关处至供应商连接的其它运营商对端联接点：平均丢包率≤1%，平均延时≤150ms。</w:t>
      </w:r>
    </w:p>
    <w:p>
      <w:pPr>
        <w:numPr>
          <w:ilvl w:val="0"/>
          <w:numId w:val="1"/>
        </w:numPr>
        <w:snapToGrid w:val="0"/>
        <w:spacing w:line="360" w:lineRule="auto"/>
        <w:ind w:firstLine="480" w:firstLineChars="200"/>
        <w:rPr>
          <w:rFonts w:ascii="宋体" w:hAnsi="宋体" w:cs="黑体"/>
          <w:color w:val="auto"/>
          <w:sz w:val="24"/>
          <w:szCs w:val="24"/>
        </w:rPr>
      </w:pPr>
      <w:r>
        <w:rPr>
          <w:rFonts w:hint="eastAsia" w:ascii="宋体" w:hAnsi="宋体" w:cs="黑体"/>
          <w:color w:val="auto"/>
          <w:sz w:val="24"/>
          <w:szCs w:val="24"/>
        </w:rPr>
        <w:t>双方互联设备点对点时延要求：平均延时≤10ms。</w:t>
      </w:r>
    </w:p>
    <w:p>
      <w:pPr>
        <w:snapToGrid w:val="0"/>
        <w:spacing w:line="360" w:lineRule="auto"/>
        <w:jc w:val="center"/>
        <w:rPr>
          <w:rFonts w:hint="eastAsia" w:ascii="宋体" w:hAnsi="宋体" w:cs="宋体"/>
          <w:color w:val="auto"/>
          <w:sz w:val="24"/>
          <w:szCs w:val="24"/>
        </w:rPr>
      </w:pPr>
      <w:r>
        <w:rPr>
          <w:rFonts w:hint="eastAsia" w:ascii="宋体" w:hAnsi="宋体" w:cs="宋体"/>
          <w:color w:val="auto"/>
          <w:sz w:val="24"/>
          <w:szCs w:val="24"/>
        </w:rPr>
        <w:t>网络质量要求</w:t>
      </w:r>
    </w:p>
    <w:tbl>
      <w:tblPr>
        <w:tblStyle w:val="5"/>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60"/>
        <w:gridCol w:w="3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3145" w:type="pct"/>
            <w:shd w:val="clear" w:color="auto" w:fill="FFFFFF"/>
            <w:noWrap w:val="0"/>
            <w:vAlign w:val="center"/>
          </w:tcPr>
          <w:p>
            <w:pPr>
              <w:jc w:val="center"/>
              <w:rPr>
                <w:rFonts w:hint="eastAsia" w:ascii="宋体" w:hAnsi="宋体" w:cs="宋体"/>
                <w:bCs/>
                <w:color w:val="auto"/>
                <w:sz w:val="24"/>
                <w:szCs w:val="24"/>
                <w:lang w:bidi="hi-IN"/>
              </w:rPr>
            </w:pPr>
            <w:bookmarkStart w:id="0" w:name="_Hlk132118110"/>
            <w:r>
              <w:rPr>
                <w:rFonts w:hint="eastAsia" w:ascii="宋体" w:hAnsi="宋体" w:cs="宋体"/>
                <w:bCs/>
                <w:color w:val="auto"/>
                <w:sz w:val="24"/>
                <w:szCs w:val="24"/>
                <w:lang w:bidi="hi-IN"/>
              </w:rPr>
              <w:t>指标</w:t>
            </w:r>
          </w:p>
        </w:tc>
        <w:tc>
          <w:tcPr>
            <w:tcW w:w="1854" w:type="pct"/>
            <w:shd w:val="clear" w:color="auto" w:fill="FFFFFF"/>
            <w:noWrap/>
            <w:vAlign w:val="center"/>
          </w:tcPr>
          <w:p>
            <w:pPr>
              <w:jc w:val="center"/>
              <w:rPr>
                <w:rFonts w:hint="default" w:ascii="宋体" w:hAnsi="宋体" w:eastAsia="宋体" w:cs="宋体"/>
                <w:bCs/>
                <w:color w:val="auto"/>
                <w:sz w:val="24"/>
                <w:szCs w:val="24"/>
                <w:lang w:val="en-US" w:eastAsia="zh-CN" w:bidi="hi-IN"/>
              </w:rPr>
            </w:pPr>
            <w:r>
              <w:rPr>
                <w:rFonts w:hint="eastAsia" w:ascii="宋体" w:hAnsi="宋体" w:cs="宋体"/>
                <w:bCs/>
                <w:color w:val="auto"/>
                <w:sz w:val="24"/>
                <w:szCs w:val="24"/>
                <w:lang w:val="en-US" w:eastAsia="zh-CN" w:bidi="hi-IN"/>
              </w:rPr>
              <w:t>要求</w:t>
            </w:r>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3145" w:type="pct"/>
            <w:shd w:val="clear" w:color="auto" w:fill="FFFFFF"/>
            <w:noWrap w:val="0"/>
            <w:vAlign w:val="center"/>
          </w:tcPr>
          <w:p>
            <w:pPr>
              <w:jc w:val="center"/>
              <w:rPr>
                <w:rFonts w:hint="eastAsia" w:ascii="宋体" w:hAnsi="宋体" w:cs="宋体"/>
                <w:bCs/>
                <w:color w:val="auto"/>
                <w:sz w:val="24"/>
                <w:szCs w:val="24"/>
                <w:lang w:bidi="hi-IN"/>
              </w:rPr>
            </w:pPr>
            <w:r>
              <w:rPr>
                <w:rFonts w:hint="eastAsia" w:ascii="宋体" w:hAnsi="宋体" w:cs="宋体"/>
                <w:bCs/>
                <w:color w:val="auto"/>
                <w:sz w:val="24"/>
                <w:szCs w:val="24"/>
                <w:lang w:bidi="hi-IN"/>
              </w:rPr>
              <w:t>同一专线相同故障重复发生次数</w:t>
            </w:r>
          </w:p>
        </w:tc>
        <w:tc>
          <w:tcPr>
            <w:tcW w:w="1854" w:type="pct"/>
            <w:shd w:val="clear" w:color="auto" w:fill="FFFFFF"/>
            <w:noWrap/>
            <w:vAlign w:val="center"/>
          </w:tcPr>
          <w:p>
            <w:pPr>
              <w:jc w:val="center"/>
              <w:rPr>
                <w:rFonts w:hint="eastAsia" w:ascii="宋体" w:hAnsi="宋体" w:cs="宋体"/>
                <w:bCs/>
                <w:color w:val="auto"/>
                <w:sz w:val="24"/>
                <w:szCs w:val="24"/>
                <w:lang w:bidi="hi-IN"/>
              </w:rPr>
            </w:pPr>
            <w:r>
              <w:rPr>
                <w:rFonts w:hint="eastAsia" w:ascii="宋体" w:hAnsi="宋体" w:cs="宋体"/>
                <w:bCs/>
                <w:color w:val="auto"/>
                <w:sz w:val="24"/>
                <w:szCs w:val="24"/>
                <w:lang w:bidi="hi-IN"/>
              </w:rPr>
              <w:t>≤2次/年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3145" w:type="pct"/>
            <w:shd w:val="clear" w:color="auto" w:fill="FFFFFF"/>
            <w:noWrap w:val="0"/>
            <w:vAlign w:val="center"/>
          </w:tcPr>
          <w:p>
            <w:pPr>
              <w:jc w:val="center"/>
              <w:rPr>
                <w:rFonts w:hint="eastAsia" w:ascii="宋体" w:hAnsi="宋体" w:cs="宋体"/>
                <w:bCs/>
                <w:color w:val="auto"/>
                <w:sz w:val="24"/>
                <w:szCs w:val="24"/>
                <w:lang w:bidi="hi-IN"/>
              </w:rPr>
            </w:pPr>
            <w:r>
              <w:rPr>
                <w:rFonts w:hint="eastAsia" w:ascii="宋体" w:hAnsi="宋体" w:cs="宋体"/>
                <w:bCs/>
                <w:color w:val="auto"/>
                <w:sz w:val="24"/>
                <w:szCs w:val="24"/>
              </w:rPr>
              <w:t>同一专线年业务中断历时</w:t>
            </w:r>
          </w:p>
        </w:tc>
        <w:tc>
          <w:tcPr>
            <w:tcW w:w="1854" w:type="pct"/>
            <w:shd w:val="clear" w:color="auto" w:fill="FFFFFF"/>
            <w:noWrap/>
            <w:vAlign w:val="center"/>
          </w:tcPr>
          <w:p>
            <w:pPr>
              <w:jc w:val="center"/>
              <w:rPr>
                <w:rFonts w:hint="eastAsia" w:ascii="宋体" w:hAnsi="宋体" w:cs="宋体"/>
                <w:bCs/>
                <w:color w:val="auto"/>
                <w:sz w:val="24"/>
                <w:szCs w:val="24"/>
                <w:lang w:bidi="hi-IN"/>
              </w:rPr>
            </w:pPr>
            <w:r>
              <w:rPr>
                <w:rFonts w:hint="eastAsia" w:ascii="宋体" w:hAnsi="宋体" w:cs="宋体"/>
                <w:bCs/>
                <w:color w:val="auto"/>
                <w:sz w:val="24"/>
                <w:szCs w:val="24"/>
                <w:lang w:bidi="hi-IN"/>
              </w:rPr>
              <w:t>≤3小时</w:t>
            </w:r>
          </w:p>
        </w:tc>
      </w:tr>
    </w:tbl>
    <w:p>
      <w:pPr>
        <w:pStyle w:val="4"/>
        <w:ind w:left="0" w:leftChars="0" w:firstLine="0" w:firstLineChars="0"/>
        <w:jc w:val="both"/>
        <w:rPr>
          <w:rFonts w:hint="eastAsia" w:ascii="宋体" w:hAnsi="宋体" w:cs="宋体"/>
          <w:color w:val="auto"/>
          <w:sz w:val="24"/>
          <w:szCs w:val="24"/>
        </w:rPr>
      </w:pPr>
      <w:r>
        <w:rPr>
          <w:rFonts w:hint="eastAsia" w:ascii="宋体" w:hAnsi="宋体" w:cs="宋体"/>
          <w:color w:val="auto"/>
          <w:sz w:val="24"/>
          <w:szCs w:val="24"/>
        </w:rPr>
        <w:t>电路可用率达到99%。</w:t>
      </w:r>
    </w:p>
    <w:p>
      <w:pPr>
        <w:pStyle w:val="4"/>
        <w:jc w:val="center"/>
        <w:rPr>
          <w:rFonts w:hint="eastAsia" w:ascii="宋体" w:hAnsi="宋体" w:cs="宋体"/>
          <w:color w:val="auto"/>
          <w:sz w:val="24"/>
          <w:szCs w:val="24"/>
        </w:rPr>
      </w:pPr>
      <w:r>
        <w:rPr>
          <w:rFonts w:hint="eastAsia" w:ascii="宋体" w:hAnsi="宋体" w:cs="宋体"/>
          <w:color w:val="auto"/>
          <w:sz w:val="24"/>
          <w:szCs w:val="24"/>
        </w:rPr>
        <w:t>数据专线线路质量标准</w:t>
      </w:r>
    </w:p>
    <w:tbl>
      <w:tblPr>
        <w:tblStyle w:val="5"/>
        <w:tblpPr w:leftFromText="180" w:rightFromText="180" w:vertAnchor="text" w:horzAnchor="page" w:tblpX="1318" w:tblpY="350"/>
        <w:tblOverlap w:val="never"/>
        <w:tblW w:w="501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1"/>
        <w:gridCol w:w="1583"/>
        <w:gridCol w:w="3713"/>
        <w:gridCol w:w="20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714" w:type="pct"/>
            <w:shd w:val="clear" w:color="auto" w:fill="FFFFFF"/>
            <w:noWrap w:val="0"/>
            <w:vAlign w:val="center"/>
          </w:tcPr>
          <w:p>
            <w:pPr>
              <w:jc w:val="center"/>
              <w:rPr>
                <w:rFonts w:hint="eastAsia" w:ascii="宋体" w:hAnsi="宋体" w:cs="宋体"/>
                <w:bCs/>
                <w:color w:val="auto"/>
                <w:sz w:val="24"/>
                <w:szCs w:val="24"/>
              </w:rPr>
            </w:pPr>
            <w:r>
              <w:rPr>
                <w:rFonts w:hint="eastAsia" w:ascii="宋体" w:hAnsi="宋体" w:cs="宋体"/>
                <w:bCs/>
                <w:color w:val="auto"/>
                <w:sz w:val="24"/>
                <w:szCs w:val="24"/>
              </w:rPr>
              <w:t>专线类别</w:t>
            </w:r>
          </w:p>
        </w:tc>
        <w:tc>
          <w:tcPr>
            <w:tcW w:w="925" w:type="pct"/>
            <w:shd w:val="clear" w:color="auto" w:fill="FFFFFF"/>
            <w:noWrap/>
            <w:vAlign w:val="center"/>
          </w:tcPr>
          <w:p>
            <w:pPr>
              <w:jc w:val="center"/>
              <w:rPr>
                <w:rFonts w:hint="eastAsia" w:ascii="宋体" w:hAnsi="宋体" w:cs="宋体"/>
                <w:bCs/>
                <w:color w:val="auto"/>
                <w:sz w:val="24"/>
                <w:szCs w:val="24"/>
              </w:rPr>
            </w:pPr>
            <w:r>
              <w:rPr>
                <w:rFonts w:hint="eastAsia" w:ascii="宋体" w:hAnsi="宋体" w:cs="宋体"/>
                <w:bCs/>
                <w:color w:val="auto"/>
                <w:sz w:val="24"/>
                <w:szCs w:val="24"/>
              </w:rPr>
              <w:t>质量指标内容</w:t>
            </w:r>
          </w:p>
        </w:tc>
        <w:tc>
          <w:tcPr>
            <w:tcW w:w="2172" w:type="pct"/>
            <w:shd w:val="clear" w:color="auto" w:fill="FFFFFF"/>
            <w:noWrap w:val="0"/>
            <w:vAlign w:val="center"/>
          </w:tcPr>
          <w:p>
            <w:pPr>
              <w:jc w:val="center"/>
              <w:rPr>
                <w:rFonts w:hint="eastAsia" w:ascii="宋体" w:hAnsi="宋体" w:cs="宋体"/>
                <w:bCs/>
                <w:color w:val="auto"/>
                <w:sz w:val="24"/>
                <w:szCs w:val="24"/>
              </w:rPr>
            </w:pPr>
            <w:r>
              <w:rPr>
                <w:rFonts w:hint="eastAsia" w:ascii="宋体" w:hAnsi="宋体" w:cs="宋体"/>
                <w:bCs/>
                <w:color w:val="auto"/>
                <w:sz w:val="24"/>
                <w:szCs w:val="24"/>
              </w:rPr>
              <w:t>指标定义</w:t>
            </w:r>
          </w:p>
        </w:tc>
        <w:tc>
          <w:tcPr>
            <w:tcW w:w="1188" w:type="pct"/>
            <w:shd w:val="clear" w:color="auto" w:fill="FFFFFF"/>
            <w:noWrap w:val="0"/>
            <w:vAlign w:val="center"/>
          </w:tcPr>
          <w:p>
            <w:pPr>
              <w:jc w:val="center"/>
              <w:rPr>
                <w:rFonts w:hint="eastAsia" w:ascii="宋体" w:hAnsi="宋体" w:cs="宋体"/>
                <w:bCs/>
                <w:color w:val="auto"/>
                <w:sz w:val="24"/>
                <w:szCs w:val="24"/>
              </w:rPr>
            </w:pPr>
            <w:r>
              <w:rPr>
                <w:rFonts w:hint="eastAsia" w:ascii="宋体" w:hAnsi="宋体" w:cs="宋体"/>
                <w:bCs/>
                <w:color w:val="auto"/>
                <w:sz w:val="24"/>
                <w:szCs w:val="24"/>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714" w:type="pct"/>
            <w:vMerge w:val="restart"/>
            <w:shd w:val="clear" w:color="auto" w:fill="FFFFFF"/>
            <w:noWrap w:val="0"/>
            <w:vAlign w:val="center"/>
          </w:tcPr>
          <w:p>
            <w:pPr>
              <w:jc w:val="center"/>
              <w:rPr>
                <w:rFonts w:hint="eastAsia" w:ascii="宋体" w:hAnsi="宋体" w:cs="宋体"/>
                <w:bCs/>
                <w:color w:val="auto"/>
                <w:sz w:val="24"/>
                <w:szCs w:val="24"/>
              </w:rPr>
            </w:pPr>
            <w:r>
              <w:rPr>
                <w:rFonts w:hint="eastAsia" w:ascii="宋体" w:hAnsi="宋体" w:cs="宋体"/>
                <w:bCs/>
                <w:color w:val="auto"/>
                <w:sz w:val="24"/>
                <w:szCs w:val="24"/>
              </w:rPr>
              <w:t>数据专线</w:t>
            </w:r>
          </w:p>
        </w:tc>
        <w:tc>
          <w:tcPr>
            <w:tcW w:w="925" w:type="pct"/>
            <w:shd w:val="clear" w:color="auto" w:fill="FFFFFF"/>
            <w:noWrap/>
            <w:vAlign w:val="center"/>
          </w:tcPr>
          <w:p>
            <w:pPr>
              <w:jc w:val="center"/>
              <w:rPr>
                <w:rFonts w:hint="eastAsia" w:ascii="宋体" w:hAnsi="宋体" w:cs="宋体"/>
                <w:bCs/>
                <w:color w:val="auto"/>
                <w:sz w:val="24"/>
                <w:szCs w:val="24"/>
              </w:rPr>
            </w:pPr>
            <w:r>
              <w:rPr>
                <w:rFonts w:hint="eastAsia" w:ascii="宋体" w:hAnsi="宋体" w:cs="宋体"/>
                <w:bCs/>
                <w:color w:val="auto"/>
                <w:sz w:val="24"/>
                <w:szCs w:val="24"/>
              </w:rPr>
              <w:t>误码率</w:t>
            </w:r>
          </w:p>
        </w:tc>
        <w:tc>
          <w:tcPr>
            <w:tcW w:w="2172" w:type="pct"/>
            <w:shd w:val="clear" w:color="auto" w:fill="FFFFFF"/>
            <w:noWrap/>
            <w:vAlign w:val="center"/>
          </w:tcPr>
          <w:p>
            <w:pPr>
              <w:jc w:val="center"/>
              <w:rPr>
                <w:rFonts w:hint="eastAsia" w:ascii="宋体" w:hAnsi="宋体" w:cs="宋体"/>
                <w:bCs/>
                <w:color w:val="auto"/>
                <w:sz w:val="24"/>
                <w:szCs w:val="24"/>
              </w:rPr>
            </w:pPr>
            <w:r>
              <w:rPr>
                <w:rFonts w:hint="eastAsia" w:ascii="宋体" w:hAnsi="宋体" w:cs="宋体"/>
                <w:bCs/>
                <w:color w:val="auto"/>
                <w:sz w:val="24"/>
                <w:szCs w:val="24"/>
              </w:rPr>
              <w:t>在一个确定的测试期间，接收出现差错的比特数与总发送的比特数之比</w:t>
            </w:r>
          </w:p>
        </w:tc>
        <w:tc>
          <w:tcPr>
            <w:tcW w:w="1188" w:type="pct"/>
            <w:shd w:val="clear" w:color="auto" w:fill="FFFFFF"/>
            <w:noWrap w:val="0"/>
            <w:vAlign w:val="center"/>
          </w:tcPr>
          <w:p>
            <w:pPr>
              <w:jc w:val="center"/>
              <w:rPr>
                <w:rFonts w:hint="eastAsia" w:ascii="宋体" w:hAnsi="宋体" w:cs="宋体"/>
                <w:bCs/>
                <w:color w:val="auto"/>
                <w:sz w:val="24"/>
                <w:szCs w:val="24"/>
              </w:rPr>
            </w:pPr>
            <w:r>
              <w:rPr>
                <w:rFonts w:hint="eastAsia" w:ascii="宋体" w:hAnsi="宋体" w:cs="宋体"/>
                <w:bCs/>
                <w:color w:val="auto"/>
                <w:sz w:val="24"/>
                <w:szCs w:val="24"/>
              </w:rPr>
              <w:t>≤1e-9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2" w:hRule="atLeast"/>
        </w:trPr>
        <w:tc>
          <w:tcPr>
            <w:tcW w:w="714" w:type="pct"/>
            <w:vMerge w:val="continue"/>
            <w:shd w:val="clear" w:color="auto" w:fill="FFFFFF"/>
            <w:noWrap w:val="0"/>
            <w:vAlign w:val="center"/>
          </w:tcPr>
          <w:p>
            <w:pPr>
              <w:jc w:val="center"/>
              <w:rPr>
                <w:rFonts w:hint="eastAsia" w:ascii="宋体" w:hAnsi="宋体" w:cs="宋体"/>
                <w:bCs/>
                <w:color w:val="auto"/>
                <w:sz w:val="24"/>
                <w:szCs w:val="24"/>
              </w:rPr>
            </w:pPr>
          </w:p>
        </w:tc>
        <w:tc>
          <w:tcPr>
            <w:tcW w:w="925" w:type="pct"/>
            <w:shd w:val="clear" w:color="auto" w:fill="FFFFFF"/>
            <w:noWrap/>
            <w:vAlign w:val="center"/>
          </w:tcPr>
          <w:p>
            <w:pPr>
              <w:jc w:val="center"/>
              <w:rPr>
                <w:rFonts w:hint="eastAsia" w:ascii="宋体" w:hAnsi="宋体" w:cs="宋体"/>
                <w:bCs/>
                <w:color w:val="auto"/>
                <w:sz w:val="24"/>
                <w:szCs w:val="24"/>
              </w:rPr>
            </w:pPr>
            <w:r>
              <w:rPr>
                <w:rFonts w:hint="eastAsia" w:ascii="宋体" w:hAnsi="宋体" w:cs="宋体"/>
                <w:bCs/>
                <w:color w:val="auto"/>
                <w:sz w:val="24"/>
                <w:szCs w:val="24"/>
              </w:rPr>
              <w:t>时延</w:t>
            </w:r>
          </w:p>
        </w:tc>
        <w:tc>
          <w:tcPr>
            <w:tcW w:w="2172" w:type="pct"/>
            <w:shd w:val="clear" w:color="auto" w:fill="FFFFFF"/>
            <w:noWrap/>
            <w:vAlign w:val="center"/>
          </w:tcPr>
          <w:p>
            <w:pPr>
              <w:jc w:val="center"/>
              <w:rPr>
                <w:rFonts w:hint="eastAsia" w:ascii="宋体" w:hAnsi="宋体" w:cs="宋体"/>
                <w:bCs/>
                <w:color w:val="auto"/>
                <w:sz w:val="24"/>
                <w:szCs w:val="24"/>
              </w:rPr>
            </w:pPr>
            <w:r>
              <w:rPr>
                <w:rFonts w:hint="eastAsia" w:ascii="宋体" w:hAnsi="宋体" w:cs="宋体"/>
                <w:bCs/>
                <w:color w:val="auto"/>
                <w:sz w:val="24"/>
                <w:szCs w:val="24"/>
              </w:rPr>
              <w:t>端到端不丢包情况下的网络转发数据所用时间，包括传输时延和传输节点处理时延。</w:t>
            </w:r>
          </w:p>
        </w:tc>
        <w:tc>
          <w:tcPr>
            <w:tcW w:w="1188" w:type="pct"/>
            <w:shd w:val="clear" w:color="auto" w:fill="FFFFFF"/>
            <w:noWrap w:val="0"/>
            <w:vAlign w:val="center"/>
          </w:tcPr>
          <w:p>
            <w:pPr>
              <w:jc w:val="center"/>
              <w:rPr>
                <w:rFonts w:hint="eastAsia" w:ascii="宋体" w:hAnsi="宋体" w:cs="宋体"/>
                <w:bCs/>
                <w:color w:val="auto"/>
                <w:sz w:val="24"/>
                <w:szCs w:val="24"/>
              </w:rPr>
            </w:pPr>
            <w:r>
              <w:rPr>
                <w:rFonts w:hint="eastAsia" w:ascii="宋体" w:hAnsi="宋体" w:cs="宋体"/>
                <w:bCs/>
                <w:color w:val="auto"/>
                <w:sz w:val="24"/>
                <w:szCs w:val="24"/>
              </w:rPr>
              <w:t>跨省、跨市时延：0.8ms/百公里（单向时延）；本地网内≤10ms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714" w:type="pct"/>
            <w:vMerge w:val="continue"/>
            <w:shd w:val="clear" w:color="auto" w:fill="FFFFFF"/>
            <w:noWrap w:val="0"/>
            <w:vAlign w:val="center"/>
          </w:tcPr>
          <w:p>
            <w:pPr>
              <w:jc w:val="center"/>
              <w:rPr>
                <w:rFonts w:hint="eastAsia" w:ascii="宋体" w:hAnsi="宋体" w:cs="宋体"/>
                <w:bCs/>
                <w:color w:val="auto"/>
                <w:sz w:val="24"/>
                <w:szCs w:val="24"/>
              </w:rPr>
            </w:pPr>
          </w:p>
        </w:tc>
        <w:tc>
          <w:tcPr>
            <w:tcW w:w="925" w:type="pct"/>
            <w:shd w:val="clear" w:color="auto" w:fill="FFFFFF"/>
            <w:noWrap/>
            <w:vAlign w:val="center"/>
          </w:tcPr>
          <w:p>
            <w:pPr>
              <w:jc w:val="center"/>
              <w:rPr>
                <w:rFonts w:hint="eastAsia" w:ascii="宋体" w:hAnsi="宋体" w:cs="宋体"/>
                <w:bCs/>
                <w:color w:val="auto"/>
                <w:sz w:val="24"/>
                <w:szCs w:val="24"/>
              </w:rPr>
            </w:pPr>
            <w:r>
              <w:rPr>
                <w:rFonts w:hint="eastAsia" w:ascii="宋体" w:hAnsi="宋体" w:cs="宋体"/>
                <w:bCs/>
                <w:color w:val="auto"/>
                <w:sz w:val="24"/>
                <w:szCs w:val="24"/>
              </w:rPr>
              <w:t>丢包率</w:t>
            </w:r>
          </w:p>
        </w:tc>
        <w:tc>
          <w:tcPr>
            <w:tcW w:w="2172" w:type="pct"/>
            <w:shd w:val="clear" w:color="auto" w:fill="FFFFFF"/>
            <w:noWrap/>
            <w:vAlign w:val="center"/>
          </w:tcPr>
          <w:p>
            <w:pPr>
              <w:jc w:val="center"/>
              <w:rPr>
                <w:rFonts w:hint="eastAsia" w:ascii="宋体" w:hAnsi="宋体" w:cs="宋体"/>
                <w:bCs/>
                <w:color w:val="auto"/>
                <w:sz w:val="24"/>
                <w:szCs w:val="24"/>
              </w:rPr>
            </w:pPr>
            <w:r>
              <w:rPr>
                <w:rFonts w:hint="eastAsia" w:ascii="宋体" w:hAnsi="宋体" w:cs="宋体"/>
                <w:bCs/>
                <w:color w:val="auto"/>
                <w:sz w:val="24"/>
                <w:szCs w:val="24"/>
              </w:rPr>
              <w:t>在网络稳定状态下由于网络资源缺乏造成的不能转发的数据帧和总数据帧的百分比</w:t>
            </w:r>
          </w:p>
        </w:tc>
        <w:tc>
          <w:tcPr>
            <w:tcW w:w="1188" w:type="pct"/>
            <w:shd w:val="clear" w:color="auto" w:fill="FFFFFF"/>
            <w:noWrap w:val="0"/>
            <w:vAlign w:val="center"/>
          </w:tcPr>
          <w:p>
            <w:pPr>
              <w:jc w:val="center"/>
              <w:rPr>
                <w:rFonts w:hint="eastAsia" w:ascii="宋体" w:hAnsi="宋体" w:cs="宋体"/>
                <w:bCs/>
                <w:color w:val="auto"/>
                <w:sz w:val="24"/>
                <w:szCs w:val="24"/>
              </w:rPr>
            </w:pPr>
            <w:r>
              <w:rPr>
                <w:rFonts w:hint="eastAsia" w:ascii="宋体" w:hAnsi="宋体" w:cs="宋体"/>
                <w:bCs/>
                <w:color w:val="auto"/>
                <w:sz w:val="24"/>
                <w:szCs w:val="24"/>
              </w:rPr>
              <w:t>在正常带宽负荷下（负荷小于70％）≤0.1%（挂表测试为准）</w:t>
            </w:r>
          </w:p>
        </w:tc>
      </w:tr>
    </w:tbl>
    <w:p>
      <w:pPr>
        <w:pStyle w:val="4"/>
        <w:rPr>
          <w:rFonts w:hint="eastAsia" w:ascii="宋体" w:hAnsi="宋体" w:cs="宋体"/>
          <w:color w:val="auto"/>
          <w:sz w:val="24"/>
          <w:szCs w:val="24"/>
        </w:rPr>
      </w:pPr>
    </w:p>
    <w:p>
      <w:pPr>
        <w:snapToGrid w:val="0"/>
        <w:spacing w:line="360" w:lineRule="auto"/>
        <w:ind w:firstLine="480" w:firstLineChars="200"/>
        <w:rPr>
          <w:rFonts w:ascii="宋体" w:hAnsi="宋体" w:cs="黑体"/>
          <w:color w:val="auto"/>
          <w:sz w:val="24"/>
          <w:szCs w:val="24"/>
        </w:rPr>
      </w:pPr>
      <w:r>
        <w:rPr>
          <w:rFonts w:hint="eastAsia" w:ascii="宋体" w:hAnsi="宋体" w:cs="黑体"/>
          <w:color w:val="auto"/>
          <w:sz w:val="24"/>
          <w:szCs w:val="24"/>
        </w:rPr>
        <w:t>二、本着需求主导、统筹规划，整合资源、服务应用，着眼发展、注重安全的原则，本项目建设技术方案，主要分以下几方面考虑：</w:t>
      </w:r>
    </w:p>
    <w:p>
      <w:pPr>
        <w:snapToGrid w:val="0"/>
        <w:spacing w:line="360" w:lineRule="auto"/>
        <w:ind w:firstLine="480" w:firstLineChars="200"/>
        <w:rPr>
          <w:rFonts w:ascii="宋体" w:hAnsi="宋体" w:cs="黑体"/>
          <w:color w:val="auto"/>
          <w:sz w:val="24"/>
          <w:szCs w:val="24"/>
        </w:rPr>
      </w:pPr>
      <w:r>
        <w:rPr>
          <w:rFonts w:hint="eastAsia" w:ascii="宋体" w:hAnsi="宋体" w:cs="黑体"/>
          <w:color w:val="auto"/>
          <w:sz w:val="24"/>
          <w:szCs w:val="24"/>
        </w:rPr>
        <w:t>1、稳定性</w:t>
      </w:r>
    </w:p>
    <w:p>
      <w:pPr>
        <w:snapToGrid w:val="0"/>
        <w:spacing w:line="360" w:lineRule="auto"/>
        <w:ind w:firstLine="480" w:firstLineChars="200"/>
        <w:rPr>
          <w:rFonts w:ascii="宋体" w:hAnsi="宋体" w:cs="黑体"/>
          <w:color w:val="auto"/>
          <w:sz w:val="24"/>
          <w:szCs w:val="24"/>
        </w:rPr>
      </w:pPr>
      <w:r>
        <w:rPr>
          <w:rFonts w:hint="eastAsia" w:ascii="宋体" w:hAnsi="宋体" w:cs="黑体"/>
          <w:color w:val="auto"/>
          <w:sz w:val="24"/>
          <w:szCs w:val="24"/>
        </w:rPr>
        <w:t>伴随着信息化建设的迅速发展,本次工程要求建成满足采购人运营商电路租用要求的承载网络，网络建设最关键的一点就是安全稳定，这是其信息化建设中最重要的考虑因素，保证网络7×24小时稳定运行。</w:t>
      </w:r>
    </w:p>
    <w:p>
      <w:pPr>
        <w:snapToGrid w:val="0"/>
        <w:spacing w:line="360" w:lineRule="auto"/>
        <w:ind w:firstLine="480" w:firstLineChars="200"/>
        <w:rPr>
          <w:rFonts w:ascii="宋体" w:hAnsi="宋体" w:cs="黑体"/>
          <w:color w:val="auto"/>
          <w:sz w:val="24"/>
          <w:szCs w:val="24"/>
        </w:rPr>
      </w:pPr>
      <w:r>
        <w:rPr>
          <w:rFonts w:hint="eastAsia" w:ascii="宋体" w:hAnsi="宋体" w:cs="黑体"/>
          <w:color w:val="auto"/>
          <w:sz w:val="24"/>
          <w:szCs w:val="24"/>
        </w:rPr>
        <w:t>2、安全性</w:t>
      </w:r>
    </w:p>
    <w:p>
      <w:pPr>
        <w:snapToGrid w:val="0"/>
        <w:spacing w:line="360" w:lineRule="auto"/>
        <w:ind w:firstLine="480" w:firstLineChars="200"/>
        <w:rPr>
          <w:rFonts w:ascii="宋体" w:hAnsi="宋体" w:cs="黑体"/>
          <w:color w:val="auto"/>
          <w:sz w:val="24"/>
          <w:szCs w:val="24"/>
        </w:rPr>
      </w:pPr>
      <w:r>
        <w:rPr>
          <w:rFonts w:hint="eastAsia" w:ascii="宋体" w:hAnsi="宋体" w:cs="黑体"/>
          <w:color w:val="auto"/>
          <w:sz w:val="24"/>
          <w:szCs w:val="24"/>
        </w:rPr>
        <w:t>本项目要求做好网络安全，防止通信网络阻塞、中断、瘫痪或者被非法控制，以及为防止通信网络中传输、存储、处理的数据信息丢失、泄露或者被篡改。</w:t>
      </w:r>
    </w:p>
    <w:p>
      <w:pPr>
        <w:snapToGrid w:val="0"/>
        <w:spacing w:line="360" w:lineRule="auto"/>
        <w:ind w:firstLine="480" w:firstLineChars="200"/>
        <w:rPr>
          <w:rFonts w:ascii="宋体" w:hAnsi="宋体" w:cs="黑体"/>
          <w:color w:val="auto"/>
          <w:sz w:val="24"/>
          <w:szCs w:val="24"/>
        </w:rPr>
      </w:pPr>
      <w:r>
        <w:rPr>
          <w:rFonts w:hint="eastAsia" w:ascii="宋体" w:hAnsi="宋体" w:cs="黑体"/>
          <w:color w:val="auto"/>
          <w:sz w:val="24"/>
          <w:szCs w:val="24"/>
        </w:rPr>
        <w:t>安全目标有：保护由网点产生的或与网点相关的信息能得到充分的保护，防止被误用或盗用；保证由网络服务和归属环境提供的资源和业务能得到充分保护，防止被误用或盗用；保护标准化的安全特征至少应有一个可以在世界范围的基础上输出的加密算法；保证安全特征被充分的标准化，以确保网内互操作与不同的服务网络之间的漫游；保证提供给网点和业务供应者的保护级别比当代固定或移动网络提供的高。</w:t>
      </w:r>
    </w:p>
    <w:p>
      <w:pPr>
        <w:snapToGrid w:val="0"/>
        <w:spacing w:line="360" w:lineRule="auto"/>
        <w:ind w:firstLine="480" w:firstLineChars="200"/>
        <w:rPr>
          <w:rFonts w:ascii="宋体" w:hAnsi="宋体" w:cs="黑体"/>
          <w:color w:val="auto"/>
          <w:sz w:val="24"/>
          <w:szCs w:val="24"/>
        </w:rPr>
      </w:pPr>
      <w:r>
        <w:rPr>
          <w:rFonts w:hint="eastAsia" w:ascii="宋体" w:hAnsi="宋体" w:cs="黑体"/>
          <w:color w:val="auto"/>
          <w:sz w:val="24"/>
          <w:szCs w:val="24"/>
        </w:rPr>
        <w:t>3、可管理性</w:t>
      </w:r>
    </w:p>
    <w:p>
      <w:pPr>
        <w:snapToGrid w:val="0"/>
        <w:spacing w:line="360" w:lineRule="auto"/>
        <w:ind w:firstLine="480" w:firstLineChars="200"/>
        <w:rPr>
          <w:rFonts w:ascii="宋体" w:hAnsi="宋体" w:cs="黑体"/>
          <w:color w:val="auto"/>
          <w:sz w:val="24"/>
          <w:szCs w:val="24"/>
        </w:rPr>
      </w:pPr>
      <w:r>
        <w:rPr>
          <w:rFonts w:hint="eastAsia" w:ascii="宋体" w:hAnsi="宋体" w:cs="黑体"/>
          <w:color w:val="auto"/>
          <w:sz w:val="24"/>
          <w:szCs w:val="24"/>
        </w:rPr>
        <w:t>供应商负责建设专网的运行、维护管理，成立项目所属运行维护管理机构，负责网络的运行、维护及管理。</w:t>
      </w:r>
    </w:p>
    <w:p>
      <w:pPr>
        <w:snapToGrid w:val="0"/>
        <w:spacing w:line="360" w:lineRule="auto"/>
        <w:ind w:firstLine="480" w:firstLineChars="200"/>
        <w:rPr>
          <w:rFonts w:ascii="宋体" w:hAnsi="宋体" w:cs="黑体"/>
          <w:color w:val="auto"/>
          <w:sz w:val="24"/>
          <w:szCs w:val="24"/>
        </w:rPr>
      </w:pPr>
      <w:r>
        <w:rPr>
          <w:rFonts w:hint="eastAsia" w:ascii="宋体" w:hAnsi="宋体" w:cs="黑体"/>
          <w:color w:val="auto"/>
          <w:sz w:val="24"/>
          <w:szCs w:val="24"/>
        </w:rPr>
        <w:t>4、可维护性</w:t>
      </w:r>
    </w:p>
    <w:p>
      <w:pPr>
        <w:snapToGrid w:val="0"/>
        <w:spacing w:line="360" w:lineRule="auto"/>
        <w:ind w:firstLine="480" w:firstLineChars="200"/>
        <w:rPr>
          <w:rFonts w:ascii="宋体" w:hAnsi="宋体" w:cs="黑体"/>
          <w:color w:val="auto"/>
          <w:sz w:val="24"/>
          <w:szCs w:val="24"/>
        </w:rPr>
      </w:pPr>
      <w:r>
        <w:rPr>
          <w:rFonts w:hint="eastAsia" w:ascii="宋体" w:hAnsi="宋体" w:cs="黑体"/>
          <w:color w:val="auto"/>
          <w:sz w:val="24"/>
          <w:szCs w:val="24"/>
        </w:rPr>
        <w:t>在网络建设中采取环网保护，利用统一的网管平台对本次项目专线承载网络进行7x24小时的不间断监控，保障专网的安全运行。</w:t>
      </w:r>
    </w:p>
    <w:p>
      <w:pPr>
        <w:snapToGrid w:val="0"/>
        <w:spacing w:line="360" w:lineRule="auto"/>
        <w:ind w:firstLine="480" w:firstLineChars="200"/>
        <w:rPr>
          <w:rFonts w:ascii="宋体" w:hAnsi="宋体" w:cs="黑体"/>
          <w:color w:val="auto"/>
          <w:sz w:val="24"/>
          <w:szCs w:val="24"/>
        </w:rPr>
      </w:pPr>
      <w:r>
        <w:rPr>
          <w:rFonts w:hint="eastAsia" w:ascii="宋体" w:hAnsi="宋体" w:cs="黑体"/>
          <w:color w:val="auto"/>
          <w:sz w:val="24"/>
          <w:szCs w:val="24"/>
        </w:rPr>
        <w:t>5、经济性</w:t>
      </w:r>
    </w:p>
    <w:p>
      <w:pPr>
        <w:snapToGrid w:val="0"/>
        <w:spacing w:line="360" w:lineRule="auto"/>
        <w:ind w:firstLine="480" w:firstLineChars="200"/>
        <w:rPr>
          <w:rFonts w:ascii="宋体" w:hAnsi="宋体" w:cs="黑体"/>
          <w:color w:val="auto"/>
          <w:sz w:val="24"/>
          <w:szCs w:val="24"/>
        </w:rPr>
      </w:pPr>
      <w:r>
        <w:rPr>
          <w:rFonts w:hint="eastAsia" w:ascii="宋体" w:hAnsi="宋体" w:cs="黑体"/>
          <w:color w:val="auto"/>
          <w:sz w:val="24"/>
          <w:szCs w:val="24"/>
        </w:rPr>
        <w:t>本项目网络建设遵循国家标准，在保证电路接入的同时，兼顾扩展性能，安全性能，保障了投资受益的最大化。在满足对功能、质量、性能、价格和服务等各方面要求的前提下，追求最优化的系统设备配置，以尽量降低系统造价。</w:t>
      </w:r>
    </w:p>
    <w:p>
      <w:pPr>
        <w:snapToGrid w:val="0"/>
        <w:spacing w:line="360" w:lineRule="auto"/>
        <w:ind w:firstLine="480" w:firstLineChars="200"/>
        <w:rPr>
          <w:rFonts w:ascii="宋体" w:hAnsi="宋体" w:cs="黑体"/>
          <w:color w:val="auto"/>
          <w:sz w:val="24"/>
          <w:szCs w:val="24"/>
        </w:rPr>
      </w:pPr>
      <w:r>
        <w:rPr>
          <w:rFonts w:hint="eastAsia" w:ascii="宋体" w:hAnsi="宋体" w:cs="黑体"/>
          <w:color w:val="auto"/>
          <w:sz w:val="24"/>
          <w:szCs w:val="24"/>
        </w:rPr>
        <w:t>6、技术先进性</w:t>
      </w:r>
    </w:p>
    <w:p>
      <w:pPr>
        <w:snapToGrid w:val="0"/>
        <w:spacing w:line="360" w:lineRule="auto"/>
        <w:ind w:firstLine="480" w:firstLineChars="200"/>
        <w:rPr>
          <w:rFonts w:ascii="宋体" w:hAnsi="宋体" w:cs="黑体"/>
          <w:b/>
          <w:bCs/>
          <w:color w:val="auto"/>
          <w:sz w:val="24"/>
          <w:szCs w:val="24"/>
        </w:rPr>
      </w:pPr>
      <w:r>
        <w:rPr>
          <w:rFonts w:hint="eastAsia" w:ascii="宋体" w:hAnsi="宋体" w:cs="黑体"/>
          <w:color w:val="auto"/>
          <w:sz w:val="24"/>
          <w:szCs w:val="24"/>
        </w:rPr>
        <w:t>考虑到通信网络承载技术的发展趋势，供应商的传输承载专网使用对IP分组业务支持能力最好的、目前最先进、传输能力最强的OTN、PTN网络，可以充分保证网络高带宽、高速率、高安全，为网络的运行提供有力保障。同时可以在未来的很长时间内，保持在行业内的技术领先，满足对于技术安全的保障。</w:t>
      </w:r>
    </w:p>
    <w:p>
      <w:pPr>
        <w:snapToGrid w:val="0"/>
        <w:spacing w:line="360" w:lineRule="auto"/>
        <w:rPr>
          <w:rFonts w:hint="eastAsia" w:ascii="宋体" w:hAnsi="宋体" w:cs="黑体"/>
          <w:color w:val="auto"/>
          <w:sz w:val="24"/>
          <w:szCs w:val="24"/>
        </w:rPr>
      </w:pPr>
    </w:p>
    <w:p>
      <w:pPr>
        <w:snapToGrid w:val="0"/>
        <w:spacing w:line="360" w:lineRule="auto"/>
        <w:ind w:firstLine="480" w:firstLineChars="200"/>
        <w:rPr>
          <w:rFonts w:ascii="宋体" w:hAnsi="宋体" w:cs="黑体"/>
          <w:color w:val="auto"/>
          <w:sz w:val="24"/>
          <w:szCs w:val="24"/>
        </w:rPr>
      </w:pPr>
      <w:r>
        <w:rPr>
          <w:rFonts w:hint="eastAsia" w:ascii="宋体" w:hAnsi="宋体" w:cs="黑体"/>
          <w:color w:val="auto"/>
          <w:sz w:val="24"/>
          <w:szCs w:val="24"/>
          <w:highlight w:val="none"/>
        </w:rPr>
        <w:t>三、</w:t>
      </w:r>
      <w:r>
        <w:rPr>
          <w:rFonts w:hint="eastAsia" w:ascii="宋体" w:hAnsi="宋体" w:cs="黑体"/>
          <w:color w:val="auto"/>
          <w:sz w:val="24"/>
          <w:szCs w:val="24"/>
          <w:highlight w:val="none"/>
          <w:lang w:val="en-US" w:eastAsia="zh-CN"/>
        </w:rPr>
        <w:t>服务提供商需就如下条件做出应答承诺</w:t>
      </w:r>
    </w:p>
    <w:p>
      <w:pPr>
        <w:snapToGrid w:val="0"/>
        <w:spacing w:line="360" w:lineRule="auto"/>
        <w:ind w:firstLine="480" w:firstLineChars="200"/>
        <w:rPr>
          <w:rFonts w:hint="default" w:ascii="宋体" w:hAnsi="宋体" w:eastAsia="宋体" w:cs="黑体"/>
          <w:color w:val="auto"/>
          <w:sz w:val="24"/>
          <w:szCs w:val="24"/>
          <w:lang w:val="en-US" w:eastAsia="zh-CN"/>
        </w:rPr>
      </w:pPr>
      <w:r>
        <w:rPr>
          <w:rFonts w:hint="eastAsia" w:ascii="宋体" w:hAnsi="宋体" w:cs="黑体"/>
          <w:color w:val="auto"/>
          <w:sz w:val="24"/>
          <w:szCs w:val="24"/>
        </w:rPr>
        <w:t>1、</w:t>
      </w:r>
      <w:r>
        <w:rPr>
          <w:rFonts w:hint="eastAsia" w:ascii="宋体" w:hAnsi="宋体" w:cs="黑体"/>
          <w:color w:val="auto"/>
          <w:sz w:val="24"/>
          <w:szCs w:val="24"/>
          <w:lang w:eastAsia="zh-CN"/>
        </w:rPr>
        <w:t>因</w:t>
      </w:r>
      <w:r>
        <w:rPr>
          <w:rFonts w:hint="eastAsia" w:ascii="宋体" w:hAnsi="宋体" w:cs="黑体"/>
          <w:color w:val="auto"/>
          <w:sz w:val="24"/>
          <w:szCs w:val="24"/>
        </w:rPr>
        <w:t>本项目</w:t>
      </w:r>
      <w:r>
        <w:rPr>
          <w:rFonts w:hint="eastAsia" w:ascii="宋体" w:hAnsi="宋体" w:cs="黑体"/>
          <w:color w:val="auto"/>
          <w:sz w:val="24"/>
          <w:szCs w:val="24"/>
          <w:lang w:eastAsia="zh-CN"/>
        </w:rPr>
        <w:t>前期已有相关供应商进行网络线路提供，相关业务已在运行中，</w:t>
      </w:r>
      <w:r>
        <w:rPr>
          <w:rFonts w:hint="eastAsia" w:ascii="宋体" w:hAnsi="宋体" w:cs="黑体"/>
          <w:color w:val="auto"/>
          <w:sz w:val="24"/>
          <w:szCs w:val="24"/>
        </w:rPr>
        <w:t>为防止通信网络中传输、存储、处理的数据信息丢失、泄露或者被篡改</w:t>
      </w:r>
      <w:r>
        <w:rPr>
          <w:rFonts w:hint="eastAsia" w:ascii="宋体" w:hAnsi="宋体" w:cs="黑体"/>
          <w:color w:val="auto"/>
          <w:sz w:val="24"/>
          <w:szCs w:val="24"/>
          <w:lang w:eastAsia="zh-CN"/>
        </w:rPr>
        <w:t>，故本次项目采购</w:t>
      </w:r>
      <w:r>
        <w:rPr>
          <w:rFonts w:hint="eastAsia" w:ascii="宋体" w:hAnsi="宋体" w:cs="黑体"/>
          <w:color w:val="auto"/>
          <w:sz w:val="24"/>
          <w:szCs w:val="24"/>
        </w:rPr>
        <w:t>要求做</w:t>
      </w:r>
      <w:r>
        <w:rPr>
          <w:rFonts w:hint="eastAsia" w:ascii="宋体" w:hAnsi="宋体" w:cs="黑体"/>
          <w:color w:val="auto"/>
          <w:sz w:val="24"/>
          <w:szCs w:val="24"/>
          <w:lang w:eastAsia="zh-CN"/>
        </w:rPr>
        <w:t>到业务网络不中断，且开通时限小于等于</w:t>
      </w:r>
      <w:r>
        <w:rPr>
          <w:rFonts w:hint="eastAsia" w:ascii="宋体" w:hAnsi="宋体" w:cs="黑体"/>
          <w:color w:val="auto"/>
          <w:sz w:val="24"/>
          <w:szCs w:val="24"/>
          <w:lang w:val="en-US" w:eastAsia="zh-CN"/>
        </w:rPr>
        <w:t>24小时。因医院内部环境限制，无新开挖管道条件，需供应商自行使用已有管线资源调配电（光）路。</w:t>
      </w:r>
    </w:p>
    <w:p>
      <w:pPr>
        <w:snapToGrid w:val="0"/>
        <w:spacing w:line="360" w:lineRule="auto"/>
        <w:ind w:firstLine="480" w:firstLineChars="200"/>
        <w:rPr>
          <w:rFonts w:hint="default" w:ascii="宋体" w:hAnsi="宋体" w:eastAsia="宋体" w:cs="黑体"/>
          <w:color w:val="auto"/>
          <w:sz w:val="24"/>
          <w:szCs w:val="24"/>
          <w:lang w:val="en-US" w:eastAsia="zh-CN"/>
        </w:rPr>
      </w:pPr>
      <w:r>
        <w:rPr>
          <w:rFonts w:hint="eastAsia" w:ascii="宋体" w:hAnsi="宋体" w:cs="黑体"/>
          <w:color w:val="auto"/>
          <w:sz w:val="24"/>
          <w:szCs w:val="24"/>
        </w:rPr>
        <w:t>2、供应商提供优质电路，负责向采购人提供有关技术支持，满足采购人的网络出口需求。</w:t>
      </w:r>
      <w:r>
        <w:rPr>
          <w:rFonts w:hint="eastAsia" w:ascii="宋体" w:hAnsi="宋体" w:cs="黑体"/>
          <w:color w:val="auto"/>
          <w:sz w:val="24"/>
          <w:szCs w:val="24"/>
          <w:lang w:val="en-US" w:eastAsia="zh-CN"/>
        </w:rPr>
        <w:t>医院所有涉及电路转接用设备均有供应商提供，由供应商承担所有设备使用费用。</w:t>
      </w:r>
    </w:p>
    <w:p>
      <w:pPr>
        <w:snapToGrid w:val="0"/>
        <w:spacing w:line="360" w:lineRule="auto"/>
        <w:ind w:firstLine="480" w:firstLineChars="200"/>
        <w:rPr>
          <w:rFonts w:ascii="宋体" w:hAnsi="宋体" w:cs="黑体"/>
          <w:color w:val="auto"/>
          <w:sz w:val="24"/>
          <w:szCs w:val="24"/>
        </w:rPr>
      </w:pPr>
      <w:r>
        <w:rPr>
          <w:rFonts w:hint="eastAsia" w:ascii="宋体" w:hAnsi="宋体" w:cs="黑体"/>
          <w:color w:val="auto"/>
          <w:sz w:val="24"/>
          <w:szCs w:val="24"/>
        </w:rPr>
        <w:t>3、供应商在服务期内为采购人提供365×24小时不间断的售后“三优”保障服务，即：优惠、优先、优质的服务，并依据有关规程和规范进行维护。</w:t>
      </w:r>
    </w:p>
    <w:p>
      <w:pPr>
        <w:snapToGrid w:val="0"/>
        <w:spacing w:line="360" w:lineRule="auto"/>
        <w:ind w:firstLine="480" w:firstLineChars="200"/>
        <w:rPr>
          <w:rFonts w:ascii="宋体" w:hAnsi="宋体" w:cs="黑体"/>
          <w:color w:val="auto"/>
          <w:sz w:val="24"/>
          <w:szCs w:val="24"/>
        </w:rPr>
      </w:pPr>
      <w:r>
        <w:rPr>
          <w:rFonts w:hint="eastAsia" w:ascii="宋体" w:hAnsi="宋体" w:cs="黑体"/>
          <w:color w:val="auto"/>
          <w:sz w:val="24"/>
          <w:szCs w:val="24"/>
        </w:rPr>
        <w:t>4、供应商须确定专人负责与采购人进行沟通协调工作，采取一站式受理，统一处理采购人的服务要求，包括线路的开通、变更、终止、故障申报、缴费等业务流程，建立完善的通信障碍处理、报告制度。电路出现通信故障应立即报于采购人，并积极配合采购人要求及时排除故障，做好详细的故障处理报告。</w:t>
      </w:r>
    </w:p>
    <w:p>
      <w:pPr>
        <w:snapToGrid w:val="0"/>
        <w:spacing w:line="360" w:lineRule="auto"/>
        <w:ind w:firstLine="480" w:firstLineChars="200"/>
        <w:rPr>
          <w:rFonts w:ascii="宋体" w:hAnsi="宋体" w:cs="黑体"/>
          <w:color w:val="auto"/>
          <w:sz w:val="24"/>
          <w:szCs w:val="24"/>
        </w:rPr>
      </w:pPr>
      <w:r>
        <w:rPr>
          <w:rFonts w:hint="eastAsia" w:ascii="宋体" w:hAnsi="宋体" w:cs="黑体"/>
          <w:color w:val="auto"/>
          <w:sz w:val="24"/>
          <w:szCs w:val="24"/>
        </w:rPr>
        <w:t>5、供应商保证在专线发生故障的情况下，必须在4小时内排除故障，特殊情况需及时书面或电话说明。对可预知的网络中断，如施工等原因影响通信线路正常使用的，保证提前24小时书面或电话通知采购人，并在4个小时之内恢复正常。</w:t>
      </w:r>
    </w:p>
    <w:p>
      <w:pPr>
        <w:snapToGrid w:val="0"/>
        <w:spacing w:line="360" w:lineRule="auto"/>
        <w:ind w:firstLine="480" w:firstLineChars="200"/>
        <w:rPr>
          <w:rFonts w:ascii="宋体" w:hAnsi="宋体" w:cs="黑体"/>
          <w:color w:val="auto"/>
          <w:sz w:val="24"/>
          <w:szCs w:val="24"/>
        </w:rPr>
      </w:pPr>
      <w:r>
        <w:rPr>
          <w:rFonts w:hint="eastAsia" w:ascii="宋体" w:hAnsi="宋体" w:cs="黑体"/>
          <w:color w:val="auto"/>
          <w:sz w:val="24"/>
          <w:szCs w:val="24"/>
        </w:rPr>
        <w:t>6、供应商须在线路开通之日前将调测好的线路交给采购人，同时提供线路测试报告。</w:t>
      </w:r>
    </w:p>
    <w:p>
      <w:pPr>
        <w:snapToGrid w:val="0"/>
        <w:spacing w:line="360" w:lineRule="auto"/>
        <w:ind w:firstLine="480" w:firstLineChars="200"/>
        <w:rPr>
          <w:rFonts w:ascii="宋体" w:hAnsi="宋体" w:cs="黑体"/>
          <w:color w:val="auto"/>
          <w:sz w:val="24"/>
          <w:szCs w:val="24"/>
        </w:rPr>
      </w:pPr>
      <w:r>
        <w:rPr>
          <w:rFonts w:hint="eastAsia" w:ascii="宋体" w:hAnsi="宋体" w:cs="黑体"/>
          <w:color w:val="auto"/>
          <w:sz w:val="24"/>
          <w:szCs w:val="24"/>
        </w:rPr>
        <w:t>7、在线路租用期限内，供应商应为采购人免费提供现场维修及维护服务。</w:t>
      </w:r>
    </w:p>
    <w:p>
      <w:pPr>
        <w:snapToGrid w:val="0"/>
        <w:spacing w:line="360" w:lineRule="auto"/>
        <w:ind w:firstLine="480" w:firstLineChars="200"/>
        <w:rPr>
          <w:rFonts w:ascii="宋体" w:hAnsi="宋体" w:cs="黑体"/>
          <w:color w:val="auto"/>
          <w:sz w:val="24"/>
          <w:szCs w:val="24"/>
        </w:rPr>
      </w:pPr>
      <w:r>
        <w:rPr>
          <w:rFonts w:hint="eastAsia" w:ascii="宋体" w:hAnsi="宋体" w:cs="黑体"/>
          <w:color w:val="auto"/>
          <w:sz w:val="24"/>
          <w:szCs w:val="24"/>
        </w:rPr>
        <w:t>8、供应商必须为采购人提供7×24小时应急通信保障，首次故障响应时间不超过30分钟，线路故障处理时间不得超过4小时。</w:t>
      </w:r>
    </w:p>
    <w:p>
      <w:pPr>
        <w:snapToGrid w:val="0"/>
        <w:spacing w:line="360" w:lineRule="auto"/>
        <w:ind w:firstLine="480" w:firstLineChars="200"/>
        <w:rPr>
          <w:rFonts w:ascii="宋体" w:hAnsi="宋体" w:cs="黑体"/>
          <w:color w:val="auto"/>
          <w:sz w:val="24"/>
          <w:szCs w:val="24"/>
        </w:rPr>
      </w:pPr>
      <w:r>
        <w:rPr>
          <w:rFonts w:hint="eastAsia" w:ascii="宋体" w:hAnsi="宋体" w:cs="黑体"/>
          <w:color w:val="auto"/>
          <w:sz w:val="24"/>
          <w:szCs w:val="24"/>
        </w:rPr>
        <w:t>9、供应商须承诺在核心节点及各边缘节点出现机房搬迁等情况需要进行线路迁移时，免费提供一次线路迁移服务。</w:t>
      </w:r>
    </w:p>
    <w:p>
      <w:pPr>
        <w:snapToGrid w:val="0"/>
        <w:spacing w:line="360" w:lineRule="auto"/>
        <w:ind w:firstLine="480" w:firstLineChars="200"/>
        <w:rPr>
          <w:rFonts w:ascii="宋体" w:hAnsi="宋体" w:cs="黑体"/>
          <w:color w:val="auto"/>
          <w:sz w:val="24"/>
          <w:szCs w:val="24"/>
        </w:rPr>
      </w:pPr>
      <w:r>
        <w:rPr>
          <w:rFonts w:hint="eastAsia" w:ascii="宋体" w:hAnsi="宋体" w:cs="黑体"/>
          <w:color w:val="auto"/>
          <w:sz w:val="24"/>
          <w:szCs w:val="24"/>
        </w:rPr>
        <w:t>1</w:t>
      </w:r>
      <w:r>
        <w:rPr>
          <w:rFonts w:ascii="宋体" w:hAnsi="宋体" w:cs="黑体"/>
          <w:color w:val="auto"/>
          <w:sz w:val="24"/>
          <w:szCs w:val="24"/>
        </w:rPr>
        <w:t>0</w:t>
      </w:r>
      <w:r>
        <w:rPr>
          <w:rFonts w:hint="eastAsia" w:ascii="宋体" w:hAnsi="宋体" w:cs="黑体"/>
          <w:color w:val="auto"/>
          <w:sz w:val="24"/>
          <w:szCs w:val="24"/>
        </w:rPr>
        <w:t>、供应商须对上述服务性需求制定详细的服务方案。</w:t>
      </w:r>
    </w:p>
    <w:p>
      <w:pPr>
        <w:snapToGrid w:val="0"/>
        <w:spacing w:line="360" w:lineRule="auto"/>
        <w:ind w:firstLine="480" w:firstLineChars="200"/>
        <w:rPr>
          <w:rFonts w:ascii="宋体" w:hAnsi="宋体" w:cs="黑体"/>
          <w:color w:val="auto"/>
          <w:sz w:val="24"/>
          <w:szCs w:val="24"/>
        </w:rPr>
      </w:pPr>
      <w:r>
        <w:rPr>
          <w:rFonts w:hint="eastAsia" w:ascii="宋体" w:hAnsi="宋体" w:cs="黑体"/>
          <w:color w:val="auto"/>
          <w:sz w:val="24"/>
          <w:szCs w:val="24"/>
        </w:rPr>
        <w:t>1</w:t>
      </w:r>
      <w:r>
        <w:rPr>
          <w:rFonts w:ascii="宋体" w:hAnsi="宋体" w:cs="黑体"/>
          <w:color w:val="auto"/>
          <w:sz w:val="24"/>
          <w:szCs w:val="24"/>
        </w:rPr>
        <w:t>1</w:t>
      </w:r>
      <w:r>
        <w:rPr>
          <w:rFonts w:hint="eastAsia" w:ascii="宋体" w:hAnsi="宋体" w:cs="黑体"/>
          <w:color w:val="auto"/>
          <w:sz w:val="24"/>
          <w:szCs w:val="24"/>
        </w:rPr>
        <w:t>、安全需求</w:t>
      </w:r>
    </w:p>
    <w:p>
      <w:pPr>
        <w:snapToGrid w:val="0"/>
        <w:spacing w:line="360" w:lineRule="auto"/>
        <w:ind w:firstLine="480" w:firstLineChars="200"/>
        <w:rPr>
          <w:rFonts w:ascii="宋体" w:hAnsi="宋体" w:cs="黑体"/>
          <w:color w:val="auto"/>
          <w:sz w:val="24"/>
          <w:szCs w:val="24"/>
        </w:rPr>
      </w:pPr>
      <w:r>
        <w:rPr>
          <w:rFonts w:hint="eastAsia" w:ascii="宋体" w:hAnsi="宋体" w:cs="黑体"/>
          <w:color w:val="auto"/>
          <w:sz w:val="24"/>
          <w:szCs w:val="24"/>
        </w:rPr>
        <w:t>（1）供应商的网络须安全可靠，须满足《中华人民共和国网络安全法》、《互联网安全保护技术措施规定》等国家法律法规的相关条款。</w:t>
      </w:r>
    </w:p>
    <w:p>
      <w:pPr>
        <w:snapToGrid w:val="0"/>
        <w:spacing w:line="360" w:lineRule="auto"/>
        <w:ind w:firstLine="480" w:firstLineChars="200"/>
        <w:rPr>
          <w:rFonts w:ascii="宋体" w:hAnsi="宋体" w:cs="黑体"/>
          <w:color w:val="auto"/>
          <w:sz w:val="24"/>
          <w:szCs w:val="24"/>
        </w:rPr>
      </w:pPr>
      <w:r>
        <w:rPr>
          <w:rFonts w:hint="eastAsia" w:ascii="宋体" w:hAnsi="宋体" w:cs="黑体"/>
          <w:color w:val="auto"/>
          <w:sz w:val="24"/>
          <w:szCs w:val="24"/>
        </w:rPr>
        <w:t>（</w:t>
      </w:r>
      <w:r>
        <w:rPr>
          <w:rFonts w:ascii="宋体" w:hAnsi="宋体" w:cs="黑体"/>
          <w:color w:val="auto"/>
          <w:sz w:val="24"/>
          <w:szCs w:val="24"/>
        </w:rPr>
        <w:t>2</w:t>
      </w:r>
      <w:r>
        <w:rPr>
          <w:rFonts w:hint="eastAsia" w:ascii="宋体" w:hAnsi="宋体" w:cs="黑体"/>
          <w:color w:val="auto"/>
          <w:sz w:val="24"/>
          <w:szCs w:val="24"/>
        </w:rPr>
        <w:t>）供应商须在投标时提供针对所投标网络制定的网络安全措施方案。</w:t>
      </w:r>
    </w:p>
    <w:p>
      <w:pPr>
        <w:snapToGrid w:val="0"/>
        <w:spacing w:line="360" w:lineRule="auto"/>
        <w:ind w:firstLine="480" w:firstLineChars="200"/>
        <w:rPr>
          <w:rFonts w:hint="eastAsia" w:ascii="宋体" w:hAnsi="宋体" w:cs="黑体"/>
          <w:color w:val="auto"/>
          <w:sz w:val="24"/>
          <w:szCs w:val="24"/>
        </w:rPr>
      </w:pPr>
      <w:r>
        <w:rPr>
          <w:rFonts w:hint="eastAsia" w:ascii="宋体" w:hAnsi="宋体" w:cs="黑体"/>
          <w:color w:val="auto"/>
          <w:sz w:val="24"/>
          <w:szCs w:val="24"/>
        </w:rPr>
        <w:t>（</w:t>
      </w:r>
      <w:r>
        <w:rPr>
          <w:rFonts w:ascii="宋体" w:hAnsi="宋体" w:cs="黑体"/>
          <w:color w:val="auto"/>
          <w:sz w:val="24"/>
          <w:szCs w:val="24"/>
        </w:rPr>
        <w:t>3</w:t>
      </w:r>
      <w:r>
        <w:rPr>
          <w:rFonts w:hint="eastAsia" w:ascii="宋体" w:hAnsi="宋体" w:cs="黑体"/>
          <w:color w:val="auto"/>
          <w:sz w:val="24"/>
          <w:szCs w:val="24"/>
        </w:rPr>
        <w:t>）</w:t>
      </w:r>
      <w:r>
        <w:rPr>
          <w:rFonts w:hint="eastAsia" w:ascii="宋体" w:hAnsi="宋体" w:cs="宋体"/>
          <w:color w:val="auto"/>
          <w:sz w:val="24"/>
          <w:szCs w:val="24"/>
        </w:rPr>
        <w:t>提供DDoS攻击监控、攻击防护和分析溯源的网络安全服务。</w:t>
      </w:r>
    </w:p>
    <w:p>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1136FA"/>
    <w:multiLevelType w:val="singleLevel"/>
    <w:tmpl w:val="2D1136FA"/>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1B941C3"/>
    <w:rsid w:val="12BB03FD"/>
    <w:rsid w:val="64421E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