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智慧医院初步设计相关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技术</w:t>
      </w:r>
      <w:bookmarkStart w:id="6" w:name="_GoBack"/>
      <w:bookmarkEnd w:id="6"/>
      <w:r>
        <w:rPr>
          <w:rFonts w:hint="eastAsia" w:ascii="宋体" w:hAnsi="宋体"/>
          <w:b/>
          <w:bCs/>
          <w:sz w:val="32"/>
          <w:szCs w:val="32"/>
        </w:rPr>
        <w:t>要求</w:t>
      </w:r>
    </w:p>
    <w:p>
      <w:pPr>
        <w:spacing w:line="360" w:lineRule="auto"/>
        <w:rPr>
          <w:rFonts w:ascii="宋体" w:hAnsi="宋体"/>
          <w:b/>
          <w:bCs/>
          <w:sz w:val="24"/>
        </w:rPr>
      </w:pPr>
    </w:p>
    <w:p>
      <w:pPr>
        <w:spacing w:line="360" w:lineRule="auto"/>
        <w:rPr>
          <w:rFonts w:hint="default" w:ascii="宋体" w:hAnsi="宋体" w:eastAsia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一、公司基本要求</w:t>
      </w:r>
    </w:p>
    <w:p>
      <w:pPr>
        <w:spacing w:line="360" w:lineRule="auto"/>
        <w:rPr>
          <w:rFonts w:ascii="宋体" w:hAnsi="宋体"/>
          <w:b w:val="0"/>
          <w:bCs w:val="0"/>
          <w:sz w:val="24"/>
        </w:rPr>
      </w:pPr>
      <w:r>
        <w:rPr>
          <w:rFonts w:hint="eastAsia" w:ascii="宋体" w:hAnsi="宋体"/>
          <w:b w:val="0"/>
          <w:bCs w:val="0"/>
          <w:sz w:val="24"/>
        </w:rPr>
        <w:t>（一）具有独立承担民事责任的能力；（二）具有良好的商业信誉和健全的财务会计制度；（三）具有履行合同所必需的设备和专业技术能力；（四）有依法缴纳税收和社会保障资金的良好记录；（五）</w:t>
      </w:r>
      <w:r>
        <w:rPr>
          <w:rFonts w:hint="eastAsia" w:ascii="宋体" w:hAnsi="宋体"/>
          <w:b w:val="0"/>
          <w:bCs w:val="0"/>
          <w:sz w:val="24"/>
          <w:lang w:val="en-US" w:eastAsia="zh-CN"/>
        </w:rPr>
        <w:t>本次采购</w:t>
      </w:r>
      <w:r>
        <w:rPr>
          <w:rFonts w:hint="eastAsia" w:ascii="宋体" w:hAnsi="宋体"/>
          <w:b w:val="0"/>
          <w:bCs w:val="0"/>
          <w:sz w:val="24"/>
        </w:rPr>
        <w:t>活动前三年内，在经营活动中没有重大违法记录；（六）法律、行政法规规定的其他条件。</w:t>
      </w:r>
    </w:p>
    <w:p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二、</w:t>
      </w:r>
      <w:r>
        <w:rPr>
          <w:rFonts w:ascii="宋体" w:hAnsi="宋体"/>
          <w:b/>
          <w:bCs/>
          <w:sz w:val="24"/>
        </w:rPr>
        <w:t>资格要求：</w:t>
      </w:r>
      <w:r>
        <w:rPr>
          <w:rFonts w:hint="eastAsia" w:ascii="宋体" w:hAnsi="宋体"/>
          <w:b/>
          <w:bCs/>
          <w:sz w:val="24"/>
        </w:rPr>
        <w:t>本项目非专门面向中小企业采购的项目。</w:t>
      </w:r>
    </w:p>
    <w:p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三、</w:t>
      </w:r>
      <w:r>
        <w:rPr>
          <w:rFonts w:ascii="宋体" w:hAnsi="宋体"/>
          <w:b/>
          <w:bCs/>
          <w:sz w:val="24"/>
        </w:rPr>
        <w:t>本项目的特定资格要求：</w:t>
      </w:r>
    </w:p>
    <w:p>
      <w:pPr>
        <w:pStyle w:val="3"/>
        <w:spacing w:line="360" w:lineRule="auto"/>
        <w:ind w:firstLine="480" w:firstLineChars="200"/>
        <w:rPr>
          <w:rFonts w:hAnsi="宋体"/>
          <w:sz w:val="24"/>
          <w:szCs w:val="24"/>
        </w:rPr>
      </w:pPr>
      <w:r>
        <w:rPr>
          <w:rFonts w:hAnsi="宋体"/>
          <w:sz w:val="24"/>
          <w:szCs w:val="24"/>
        </w:rPr>
        <w:t>3.1</w:t>
      </w:r>
      <w:r>
        <w:rPr>
          <w:rFonts w:hint="eastAsia" w:hAnsi="宋体"/>
          <w:sz w:val="24"/>
          <w:szCs w:val="24"/>
        </w:rPr>
        <w:t>投标人应具有中华人民共和国住房和城乡建设部颁发的</w:t>
      </w:r>
      <w:r>
        <w:rPr>
          <w:rFonts w:hint="eastAsia" w:ascii="Arial" w:hAnsi="Arial" w:cs="Arial"/>
          <w:sz w:val="24"/>
          <w:szCs w:val="24"/>
          <w:shd w:val="clear" w:color="auto" w:fill="FFFFFF"/>
        </w:rPr>
        <w:t>电子通信广电行业</w:t>
      </w:r>
      <w:r>
        <w:rPr>
          <w:rFonts w:hint="eastAsia" w:ascii="Arial" w:hAnsi="Arial" w:cs="Arial"/>
          <w:b/>
          <w:bCs/>
          <w:sz w:val="24"/>
          <w:szCs w:val="24"/>
          <w:shd w:val="clear" w:color="auto" w:fill="FFFFFF"/>
        </w:rPr>
        <w:t>甲级资质</w:t>
      </w:r>
      <w:r>
        <w:rPr>
          <w:rFonts w:hint="eastAsia" w:hAnsi="宋体"/>
          <w:sz w:val="24"/>
          <w:szCs w:val="24"/>
        </w:rPr>
        <w:t>证书（提供扫描件加盖公章）。</w:t>
      </w:r>
    </w:p>
    <w:p>
      <w:pPr>
        <w:pStyle w:val="3"/>
        <w:spacing w:line="360" w:lineRule="auto"/>
        <w:ind w:firstLine="480" w:firstLineChars="200"/>
        <w:rPr>
          <w:rFonts w:hAnsi="宋体" w:cs="宋体"/>
          <w:b/>
          <w:bCs/>
          <w:sz w:val="24"/>
          <w:szCs w:val="24"/>
        </w:rPr>
      </w:pPr>
      <w:r>
        <w:rPr>
          <w:rFonts w:hAnsi="宋体"/>
          <w:sz w:val="24"/>
          <w:szCs w:val="24"/>
        </w:rPr>
        <w:t>3.2</w:t>
      </w:r>
      <w:r>
        <w:rPr>
          <w:rFonts w:hint="eastAsia" w:hAnsi="宋体"/>
          <w:sz w:val="24"/>
          <w:szCs w:val="24"/>
        </w:rPr>
        <w:t>投标人应在全国投资项目在线审批监管平台进行备案，备案专业包含电子、信息工程（含通信、广电、信息化），服务范围包含项目咨询（提供平台备案信息截图）。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.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单位负责人为同一人或者存在直接控股、管理关系的不同投标人，不得参加同一合同项下的采购活动</w:t>
      </w:r>
      <w:r>
        <w:rPr>
          <w:rFonts w:ascii="宋体" w:hAnsi="宋体"/>
          <w:sz w:val="24"/>
        </w:rPr>
        <w:t>；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.</w:t>
      </w:r>
      <w:r>
        <w:rPr>
          <w:rFonts w:ascii="宋体" w:hAnsi="宋体"/>
          <w:sz w:val="24"/>
        </w:rPr>
        <w:t>4</w:t>
      </w:r>
      <w:r>
        <w:rPr>
          <w:rFonts w:hint="eastAsia" w:ascii="宋体" w:hAnsi="宋体"/>
          <w:sz w:val="24"/>
        </w:rPr>
        <w:t>投标人未被列入“信用中国”网站（www.creditchina.gov.cn）失信被执行人、重大税收违法失信主体、政府采购严重违法失信行为记录名单，及未被列入中国政府采购网（www.ccgp.gov.cn）“政府采购严重违法失信行为信息记录”，以本项目开标当天对上述信用信息进行查询核对的结果为准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3.5</w:t>
      </w:r>
      <w:r>
        <w:rPr>
          <w:rFonts w:hint="eastAsia" w:ascii="宋体" w:hAnsi="宋体"/>
          <w:sz w:val="24"/>
        </w:rPr>
        <w:t>本项目</w:t>
      </w:r>
      <w:r>
        <w:rPr>
          <w:rFonts w:hint="eastAsia" w:ascii="宋体" w:hAnsi="宋体"/>
          <w:b/>
          <w:bCs/>
          <w:sz w:val="24"/>
        </w:rPr>
        <w:t>不接受</w:t>
      </w:r>
      <w:r>
        <w:rPr>
          <w:rFonts w:hint="eastAsia" w:ascii="宋体" w:hAnsi="宋体"/>
          <w:sz w:val="24"/>
        </w:rPr>
        <w:t>联合体投标。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本项目为技术咨询类项目，完成我院智慧医院建设的初步设计工作，设计深度需满足项目后续招标深度，满足施工图设计深度。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主要建设内容</w:t>
      </w:r>
    </w:p>
    <w:p>
      <w:pPr>
        <w:pStyle w:val="2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bookmarkStart w:id="0" w:name="_Toc139376688"/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4.1 网络及硬件</w:t>
      </w:r>
      <w:bookmarkEnd w:id="0"/>
    </w:p>
    <w:tbl>
      <w:tblPr>
        <w:tblStyle w:val="6"/>
        <w:tblW w:w="6592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787"/>
        <w:gridCol w:w="4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tblHeader/>
        </w:trPr>
        <w:tc>
          <w:tcPr>
            <w:tcW w:w="669" w:type="dxa"/>
            <w:shd w:val="clear" w:color="auto" w:fill="D8D8D8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87" w:type="dxa"/>
            <w:shd w:val="clear" w:color="auto" w:fill="D8D8D8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建设内容</w:t>
            </w:r>
          </w:p>
        </w:tc>
        <w:tc>
          <w:tcPr>
            <w:tcW w:w="4136" w:type="dxa"/>
            <w:shd w:val="clear" w:color="auto" w:fill="D8D8D8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资源服务内容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exact"/>
        </w:trPr>
        <w:tc>
          <w:tcPr>
            <w:tcW w:w="66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bookmarkStart w:id="1" w:name="_Hlk139216222"/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787" w:type="dxa"/>
            <w:vMerge w:val="restart"/>
            <w:vAlign w:val="center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服务器资源扩容</w:t>
            </w:r>
          </w:p>
        </w:tc>
        <w:tc>
          <w:tcPr>
            <w:tcW w:w="4136" w:type="dxa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消费者服务器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66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1787" w:type="dxa"/>
            <w:vMerge w:val="continue"/>
            <w:vAlign w:val="center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136" w:type="dxa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文件摆渡服务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66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1787" w:type="dxa"/>
            <w:vMerge w:val="continue"/>
            <w:vAlign w:val="center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136" w:type="dxa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监控预警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66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1787" w:type="dxa"/>
            <w:vMerge w:val="continue"/>
            <w:vAlign w:val="center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136" w:type="dxa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文件缓存服务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66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1787" w:type="dxa"/>
            <w:vMerge w:val="continue"/>
            <w:vAlign w:val="center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136" w:type="dxa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缓存数据库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</w:trPr>
        <w:tc>
          <w:tcPr>
            <w:tcW w:w="66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6</w:t>
            </w:r>
          </w:p>
        </w:tc>
        <w:tc>
          <w:tcPr>
            <w:tcW w:w="1787" w:type="dxa"/>
            <w:vAlign w:val="center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全闪存存储</w:t>
            </w:r>
          </w:p>
        </w:tc>
        <w:tc>
          <w:tcPr>
            <w:tcW w:w="4136" w:type="dxa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智慧服务业务数据存储</w:t>
            </w:r>
          </w:p>
        </w:tc>
      </w:tr>
      <w:bookmarkEnd w:id="1"/>
    </w:tbl>
    <w:p>
      <w:pPr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p>
      <w:pPr>
        <w:pStyle w:val="2"/>
        <w:spacing w:after="12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bookmarkStart w:id="2" w:name="_Toc139376689"/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4.2 安全建设及国密</w:t>
      </w:r>
      <w:bookmarkEnd w:id="2"/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建设</w:t>
      </w:r>
    </w:p>
    <w:tbl>
      <w:tblPr>
        <w:tblStyle w:val="6"/>
        <w:tblW w:w="7644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787"/>
        <w:gridCol w:w="5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tblHeader/>
        </w:trPr>
        <w:tc>
          <w:tcPr>
            <w:tcW w:w="669" w:type="dxa"/>
            <w:shd w:val="clear" w:color="auto" w:fill="D8D8D8"/>
            <w:vAlign w:val="center"/>
          </w:tcPr>
          <w:p>
            <w:pPr>
              <w:widowControl/>
              <w:spacing w:after="12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87" w:type="dxa"/>
            <w:shd w:val="clear" w:color="auto" w:fill="D8D8D8"/>
            <w:vAlign w:val="center"/>
          </w:tcPr>
          <w:p>
            <w:pPr>
              <w:widowControl/>
              <w:spacing w:after="12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建设内容</w:t>
            </w:r>
          </w:p>
        </w:tc>
        <w:tc>
          <w:tcPr>
            <w:tcW w:w="5188" w:type="dxa"/>
            <w:shd w:val="clear" w:color="auto" w:fill="D8D8D8"/>
            <w:vAlign w:val="center"/>
          </w:tcPr>
          <w:p>
            <w:pPr>
              <w:widowControl/>
              <w:spacing w:after="120"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设计内容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</w:trPr>
        <w:tc>
          <w:tcPr>
            <w:tcW w:w="669" w:type="dxa"/>
            <w:vAlign w:val="center"/>
          </w:tcPr>
          <w:p>
            <w:pPr>
              <w:widowControl/>
              <w:spacing w:after="12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bookmarkStart w:id="3" w:name="_Hlk139216669"/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787" w:type="dxa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防火墙</w:t>
            </w:r>
          </w:p>
        </w:tc>
        <w:tc>
          <w:tcPr>
            <w:tcW w:w="5188" w:type="dxa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用于智慧服务互联网业务的安全防护，优化系统安全架构, 提升信息安全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669" w:type="dxa"/>
            <w:vAlign w:val="center"/>
          </w:tcPr>
          <w:p>
            <w:pPr>
              <w:widowControl/>
              <w:spacing w:after="12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1787" w:type="dxa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主机安全</w:t>
            </w:r>
          </w:p>
        </w:tc>
        <w:tc>
          <w:tcPr>
            <w:tcW w:w="5188" w:type="dxa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应能对各类安全事件和新型攻击进行分析、识别、报警。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</w:trPr>
        <w:tc>
          <w:tcPr>
            <w:tcW w:w="669" w:type="dxa"/>
            <w:vAlign w:val="center"/>
          </w:tcPr>
          <w:p>
            <w:pPr>
              <w:widowControl/>
              <w:spacing w:after="12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1787" w:type="dxa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网闸</w:t>
            </w:r>
          </w:p>
        </w:tc>
        <w:tc>
          <w:tcPr>
            <w:tcW w:w="5188" w:type="dxa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从物理上隔离、阻断了对内网具有潜在攻击可能的一切网络连接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exact"/>
        </w:trPr>
        <w:tc>
          <w:tcPr>
            <w:tcW w:w="669" w:type="dxa"/>
            <w:vAlign w:val="center"/>
          </w:tcPr>
          <w:p>
            <w:pPr>
              <w:widowControl/>
              <w:spacing w:after="12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1787" w:type="dxa"/>
            <w:vMerge w:val="restart"/>
            <w:vAlign w:val="center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国密改造</w:t>
            </w:r>
          </w:p>
        </w:tc>
        <w:tc>
          <w:tcPr>
            <w:tcW w:w="5188" w:type="dxa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智慧服务业务SSL证书、国密标准建设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exact"/>
        </w:trPr>
        <w:tc>
          <w:tcPr>
            <w:tcW w:w="669" w:type="dxa"/>
            <w:vAlign w:val="center"/>
          </w:tcPr>
          <w:p>
            <w:pPr>
              <w:widowControl/>
              <w:spacing w:after="12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6</w:t>
            </w:r>
          </w:p>
        </w:tc>
        <w:tc>
          <w:tcPr>
            <w:tcW w:w="1787" w:type="dxa"/>
            <w:vMerge w:val="continue"/>
            <w:vAlign w:val="center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5188" w:type="dxa"/>
          </w:tcPr>
          <w:p>
            <w:pPr>
              <w:widowControl/>
              <w:spacing w:after="120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国产化操作系统</w:t>
            </w:r>
          </w:p>
        </w:tc>
      </w:tr>
      <w:bookmarkEnd w:id="3"/>
    </w:tbl>
    <w:p>
      <w:pPr>
        <w:pStyle w:val="2"/>
        <w:rPr>
          <w:rFonts w:hint="default" w:ascii="宋体" w:hAnsi="宋体" w:eastAsia="宋体" w:cs="宋体"/>
          <w:b w:val="0"/>
          <w:bCs w:val="0"/>
          <w:sz w:val="24"/>
          <w:szCs w:val="24"/>
          <w:lang w:val="en-US"/>
        </w:rPr>
      </w:pPr>
      <w:bookmarkStart w:id="4" w:name="_Toc139376690"/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 xml:space="preserve">4.2.3 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主要系统</w:t>
      </w:r>
      <w:bookmarkEnd w:id="4"/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功能</w:t>
      </w:r>
    </w:p>
    <w:tbl>
      <w:tblPr>
        <w:tblStyle w:val="7"/>
        <w:tblW w:w="76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6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6967" w:type="dxa"/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系统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功能名称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基于中台技术的互联网综合运维平台改造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消息平台升级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移动应用分发平台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双向转诊平台功能升级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线上线下一体化统一医护身份认证体系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6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院前急救系统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7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急诊(绿色通道)患者定位和时间采集系统（软硬件）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8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微信公众号升级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9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微信互联网医院小程序升级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10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支付宝互联网医院小程序升级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11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病历复印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12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健康科普平台持续建设升级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13</w:t>
            </w:r>
          </w:p>
        </w:tc>
        <w:tc>
          <w:tcPr>
            <w:tcW w:w="6967" w:type="dxa"/>
            <w:vAlign w:val="center"/>
          </w:tcPr>
          <w:p>
            <w:pPr>
              <w:tabs>
                <w:tab w:val="left" w:pos="537"/>
              </w:tabs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互联网挂号风控系统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14</w:t>
            </w:r>
          </w:p>
        </w:tc>
        <w:tc>
          <w:tcPr>
            <w:tcW w:w="6967" w:type="dxa"/>
            <w:vAlign w:val="center"/>
          </w:tcPr>
          <w:p>
            <w:pPr>
              <w:tabs>
                <w:tab w:val="left" w:pos="537"/>
              </w:tabs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智能呼叫中心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15</w:t>
            </w:r>
          </w:p>
        </w:tc>
        <w:tc>
          <w:tcPr>
            <w:tcW w:w="6967" w:type="dxa"/>
            <w:vAlign w:val="center"/>
          </w:tcPr>
          <w:p>
            <w:pPr>
              <w:tabs>
                <w:tab w:val="left" w:pos="537"/>
              </w:tabs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跨院区业务融合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16</w:t>
            </w:r>
          </w:p>
        </w:tc>
        <w:tc>
          <w:tcPr>
            <w:tcW w:w="6967" w:type="dxa"/>
            <w:vAlign w:val="center"/>
          </w:tcPr>
          <w:p>
            <w:pPr>
              <w:tabs>
                <w:tab w:val="left" w:pos="537"/>
              </w:tabs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GPT大语言模型共建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17</w:t>
            </w:r>
          </w:p>
        </w:tc>
        <w:tc>
          <w:tcPr>
            <w:tcW w:w="6967" w:type="dxa"/>
            <w:vAlign w:val="center"/>
          </w:tcPr>
          <w:p>
            <w:pPr>
              <w:tabs>
                <w:tab w:val="left" w:pos="537"/>
              </w:tabs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物联网应用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18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远程会诊平台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19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便民驿站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20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智慧病区（软硬件）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21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智慧服务适老化改造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bookmarkStart w:id="5" w:name="_Hlk139217459"/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22</w:t>
            </w:r>
          </w:p>
        </w:tc>
        <w:tc>
          <w:tcPr>
            <w:tcW w:w="69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互联网统一支付平台升级改造</w:t>
            </w:r>
          </w:p>
        </w:tc>
      </w:tr>
      <w:bookmarkEnd w:id="5"/>
    </w:tbl>
    <w:p>
      <w:pPr>
        <w:numPr>
          <w:numId w:val="0"/>
        </w:num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包含本项目所有评审费用。</w:t>
      </w:r>
    </w:p>
    <w:p>
      <w:pPr>
        <w:numPr>
          <w:ilvl w:val="0"/>
          <w:numId w:val="1"/>
        </w:numPr>
        <w:spacing w:line="360" w:lineRule="auto"/>
        <w:rPr>
          <w:rFonts w:hint="default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预算：7万元</w:t>
      </w:r>
    </w:p>
    <w:p>
      <w:pPr>
        <w:numPr>
          <w:ilvl w:val="0"/>
          <w:numId w:val="1"/>
        </w:numPr>
        <w:spacing w:line="360" w:lineRule="auto"/>
        <w:rPr>
          <w:rFonts w:hint="default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工期：20个工作日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15855E"/>
    <w:multiLevelType w:val="singleLevel"/>
    <w:tmpl w:val="CB15855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3C2A49"/>
    <w:multiLevelType w:val="singleLevel"/>
    <w:tmpl w:val="413C2A4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038"/>
    <w:rsid w:val="00171038"/>
    <w:rsid w:val="005032EE"/>
    <w:rsid w:val="00607234"/>
    <w:rsid w:val="00646603"/>
    <w:rsid w:val="00690D60"/>
    <w:rsid w:val="0086307B"/>
    <w:rsid w:val="00C76DDD"/>
    <w:rsid w:val="00CE5F9A"/>
    <w:rsid w:val="00FD3909"/>
    <w:rsid w:val="00FF0F7C"/>
    <w:rsid w:val="0D5F336B"/>
    <w:rsid w:val="228F178B"/>
    <w:rsid w:val="5EB34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2"/>
    <w:qFormat/>
    <w:uiPriority w:val="0"/>
    <w:rPr>
      <w:rFonts w:ascii="宋体"/>
      <w:szCs w:val="20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uiPriority w:val="99"/>
    <w:rPr>
      <w:sz w:val="18"/>
      <w:szCs w:val="18"/>
    </w:rPr>
  </w:style>
  <w:style w:type="character" w:customStyle="1" w:styleId="11">
    <w:name w:val="纯文本 字符"/>
    <w:basedOn w:val="8"/>
    <w:semiHidden/>
    <w:uiPriority w:val="99"/>
    <w:rPr>
      <w:rFonts w:hAnsi="Courier New" w:cs="Courier New" w:asciiTheme="minorEastAsia"/>
      <w:szCs w:val="24"/>
    </w:rPr>
  </w:style>
  <w:style w:type="character" w:customStyle="1" w:styleId="12">
    <w:name w:val="纯文本 字符1"/>
    <w:link w:val="3"/>
    <w:qFormat/>
    <w:uiPriority w:val="0"/>
    <w:rPr>
      <w:rFonts w:ascii="宋体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372</Characters>
  <Lines>3</Lines>
  <Paragraphs>1</Paragraphs>
  <TotalTime>16</TotalTime>
  <ScaleCrop>false</ScaleCrop>
  <LinksUpToDate>false</LinksUpToDate>
  <CharactersWithSpaces>436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2024-01-02T01:34:00Z</dcterms:created>
  <dc:creator>cheng zhang</dc:creator>
  <cp:lastModifiedBy>陈昊昱</cp:lastModifiedBy>
  <dcterms:modified xsi:type="dcterms:W3CDTF">2024-01-18T09:34:09Z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44326B4A7FDC411990F1A8D349AD9675</vt:lpwstr>
  </property>
</Properties>
</file>