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5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536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响应文件内容完整性和编制水平</w:t>
            </w:r>
          </w:p>
          <w:p>
            <w:pPr>
              <w:spacing w:line="500" w:lineRule="exact"/>
              <w:ind w:firstLine="320" w:firstLineChars="100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（满分5分）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(5-4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第二个档次(3-2分)：投标文件内容完整、真实、齐全，编制水平良好；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第三个档次(1分)：投标文件内容基本完整，编制水平一般；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第四个档次(0分)：投标文件内容不完整、不真实，编制差。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供应商响应产品的技术服务及功能完全满足招标公告技术要求/需求的，得25分，每有一个缺陷扣2分，分数扣完为止。技术和功能响应未描述或未提供相应支撑材料的，对应项不得分。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服务体系、规范化管理体系、现场服务及服务机构技术力量、售后服务方案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20-16分）：有完善的服务体系、管理体系，技术服务团队人员能及时响应并解决故障，售后服务方案、技术方案、培训方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第二个档次（15-10分）：有规范的服务体系、管理体系，售后服务方案、技术方案、培训方案具体可行，有一定的针对性，有明确的违约责任，现场服务技术力量及人员组成良好；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第三个档次（9-5分）：服务体系、管理体系规范性一般，售后服务方案、技术方案、培训方案基本可行，但缺乏针对性，违约责任不具体，现场服务技术力量及人员组成一般。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到货期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（满分5分）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按医院下单至安装验收交付期限天数（到货期）时间由短至长排序，交付期限最短得满分5分，按排序依次递减1分，排名相同得分相同。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质保1年得基础分1分，每增加1年得1分，满分5分。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(满分10分)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2022年至今参与项目供应商销售响应产品的业绩，提供1个得基础分2分，每增加一个得2分，满分10分，未提供不得分。（业绩需2022年至今签订的合同复印件加盖公章作为证明材料）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16978EC"/>
    <w:rsid w:val="13396F80"/>
    <w:rsid w:val="15EE7198"/>
    <w:rsid w:val="192F3615"/>
    <w:rsid w:val="197A17E4"/>
    <w:rsid w:val="1A087960"/>
    <w:rsid w:val="3DA91811"/>
    <w:rsid w:val="78E36768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cgz</cp:lastModifiedBy>
  <cp:lastPrinted>2023-06-05T07:50:00Z</cp:lastPrinted>
  <dcterms:modified xsi:type="dcterms:W3CDTF">2024-03-15T08:57:47Z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4C2816F09F6D4D9CA77520D40B83C140</vt:lpwstr>
  </property>
</Properties>
</file>